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00"/>
        <w:tblW w:w="0" w:type="auto"/>
        <w:tblCellMar>
          <w:top w:w="15" w:type="dxa"/>
          <w:left w:w="15" w:type="dxa"/>
          <w:bottom w:w="15" w:type="dxa"/>
          <w:right w:w="15" w:type="dxa"/>
        </w:tblCellMar>
        <w:tblLook w:val="04A0"/>
      </w:tblPr>
      <w:tblGrid>
        <w:gridCol w:w="5063"/>
        <w:gridCol w:w="4492"/>
      </w:tblGrid>
      <w:tr w:rsidR="000177DA" w:rsidRPr="000177DA" w:rsidTr="00D03CC9">
        <w:trPr>
          <w:trHeight w:val="704"/>
        </w:trPr>
        <w:tc>
          <w:tcPr>
            <w:tcW w:w="0" w:type="auto"/>
            <w:tcBorders>
              <w:top w:val="single" w:sz="12" w:space="0" w:color="808080"/>
              <w:left w:val="single" w:sz="12" w:space="0" w:color="808080"/>
              <w:bottom w:val="single" w:sz="12" w:space="0" w:color="808080"/>
              <w:right w:val="single" w:sz="12" w:space="0" w:color="808080"/>
            </w:tcBorders>
            <w:shd w:val="clear" w:color="auto" w:fill="FFFFFF"/>
            <w:tcMar>
              <w:top w:w="100" w:type="dxa"/>
              <w:left w:w="100" w:type="dxa"/>
              <w:bottom w:w="100" w:type="dxa"/>
              <w:right w:w="100" w:type="dxa"/>
            </w:tcMar>
            <w:hideMark/>
          </w:tcPr>
          <w:p w:rsidR="000177DA" w:rsidRPr="00C33AFE" w:rsidRDefault="000177DA" w:rsidP="00D03CC9">
            <w:pPr>
              <w:rPr>
                <w:rFonts w:ascii="Times New Roman" w:hAnsi="Times New Roman" w:cs="Times New Roman"/>
              </w:rPr>
            </w:pPr>
            <w:r w:rsidRPr="00C33AFE">
              <w:rPr>
                <w:rFonts w:ascii="Times New Roman" w:hAnsi="Times New Roman" w:cs="Times New Roman"/>
              </w:rPr>
              <w:t>Научные источники (библиографическая ссылка на источник) </w:t>
            </w:r>
          </w:p>
        </w:tc>
        <w:tc>
          <w:tcPr>
            <w:tcW w:w="0" w:type="auto"/>
            <w:tcBorders>
              <w:top w:val="single" w:sz="12" w:space="0" w:color="808080"/>
              <w:left w:val="single" w:sz="12" w:space="0" w:color="808080"/>
              <w:bottom w:val="single" w:sz="12" w:space="0" w:color="808080"/>
              <w:right w:val="single" w:sz="12" w:space="0" w:color="808080"/>
            </w:tcBorders>
            <w:shd w:val="clear" w:color="auto" w:fill="FFFFFF"/>
            <w:tcMar>
              <w:top w:w="100" w:type="dxa"/>
              <w:left w:w="100" w:type="dxa"/>
              <w:bottom w:w="100" w:type="dxa"/>
              <w:right w:w="100" w:type="dxa"/>
            </w:tcMar>
            <w:hideMark/>
          </w:tcPr>
          <w:p w:rsidR="000177DA" w:rsidRPr="00C33AFE" w:rsidRDefault="000177DA" w:rsidP="00D03CC9">
            <w:pPr>
              <w:rPr>
                <w:rFonts w:ascii="Times New Roman" w:hAnsi="Times New Roman" w:cs="Times New Roman"/>
              </w:rPr>
            </w:pPr>
            <w:r w:rsidRPr="00C33AFE">
              <w:rPr>
                <w:rFonts w:ascii="Times New Roman" w:hAnsi="Times New Roman" w:cs="Times New Roman"/>
              </w:rPr>
              <w:t>Краткая аннотация</w:t>
            </w:r>
          </w:p>
        </w:tc>
      </w:tr>
      <w:tr w:rsidR="000177DA" w:rsidRPr="000177DA" w:rsidTr="00D03CC9">
        <w:trPr>
          <w:trHeight w:val="635"/>
        </w:trPr>
        <w:tc>
          <w:tcPr>
            <w:tcW w:w="0" w:type="auto"/>
            <w:tcBorders>
              <w:top w:val="single" w:sz="12" w:space="0" w:color="808080"/>
              <w:left w:val="single" w:sz="12" w:space="0" w:color="808080"/>
              <w:bottom w:val="single" w:sz="12" w:space="0" w:color="808080"/>
              <w:right w:val="single" w:sz="12" w:space="0" w:color="808080"/>
            </w:tcBorders>
            <w:shd w:val="clear" w:color="auto" w:fill="FFFFFF"/>
            <w:tcMar>
              <w:top w:w="100" w:type="dxa"/>
              <w:left w:w="100" w:type="dxa"/>
              <w:bottom w:w="100" w:type="dxa"/>
              <w:right w:w="100" w:type="dxa"/>
            </w:tcMar>
            <w:hideMark/>
          </w:tcPr>
          <w:p w:rsidR="00D03CC9" w:rsidRDefault="00D03CC9" w:rsidP="00D03CC9">
            <w:pPr>
              <w:rPr>
                <w:rFonts w:ascii="Times New Roman" w:hAnsi="Times New Roman" w:cs="Times New Roman"/>
              </w:rPr>
            </w:pPr>
            <w:r w:rsidRPr="00D03CC9">
              <w:rPr>
                <w:rFonts w:ascii="Times New Roman" w:hAnsi="Times New Roman" w:cs="Times New Roman"/>
                <w:i/>
              </w:rPr>
              <w:t>ЛОМОВЦЕВА Н. В</w:t>
            </w:r>
            <w:r w:rsidRPr="00D03CC9">
              <w:rPr>
                <w:rFonts w:ascii="Times New Roman" w:hAnsi="Times New Roman" w:cs="Times New Roman"/>
              </w:rPr>
              <w:t>. КОРПОРАТИВНОЕ ЭЛЕКТРОННОЕ ОБУЧЕНИЕ: ПЕРСПЕКТИВЫ РАЗВИТИЯ</w:t>
            </w:r>
            <w:r>
              <w:rPr>
                <w:rFonts w:ascii="Times New Roman" w:hAnsi="Times New Roman" w:cs="Times New Roman"/>
              </w:rPr>
              <w:t xml:space="preserve"> 2020</w:t>
            </w:r>
          </w:p>
          <w:p w:rsidR="00D03CC9" w:rsidRPr="00D03CC9" w:rsidRDefault="00D03CC9" w:rsidP="00D03CC9">
            <w:pPr>
              <w:rPr>
                <w:rFonts w:ascii="Times New Roman" w:hAnsi="Times New Roman" w:cs="Times New Roman"/>
              </w:rPr>
            </w:pPr>
            <w:hyperlink r:id="rId7" w:history="1">
              <w:r w:rsidRPr="00C00012">
                <w:rPr>
                  <w:rStyle w:val="a6"/>
                  <w:rFonts w:ascii="Times New Roman" w:hAnsi="Times New Roman" w:cs="Times New Roman"/>
                </w:rPr>
                <w:t>https://elibrary.ru/item.asp?id=44589059</w:t>
              </w:r>
            </w:hyperlink>
            <w:r>
              <w:rPr>
                <w:rFonts w:ascii="Times New Roman" w:hAnsi="Times New Roman" w:cs="Times New Roman"/>
              </w:rPr>
              <w:t xml:space="preserve"> </w:t>
            </w:r>
          </w:p>
          <w:p w:rsidR="002D7936" w:rsidRPr="00D03CC9" w:rsidRDefault="002D7936" w:rsidP="00D03CC9">
            <w:pPr>
              <w:rPr>
                <w:rFonts w:ascii="Times New Roman" w:hAnsi="Times New Roman" w:cs="Times New Roman"/>
              </w:rPr>
            </w:pPr>
          </w:p>
        </w:tc>
        <w:tc>
          <w:tcPr>
            <w:tcW w:w="0" w:type="auto"/>
            <w:tcBorders>
              <w:top w:val="single" w:sz="12" w:space="0" w:color="808080"/>
              <w:left w:val="single" w:sz="12" w:space="0" w:color="808080"/>
              <w:bottom w:val="single" w:sz="12" w:space="0" w:color="808080"/>
              <w:right w:val="single" w:sz="12" w:space="0" w:color="808080"/>
            </w:tcBorders>
            <w:shd w:val="clear" w:color="auto" w:fill="FFFFFF"/>
            <w:tcMar>
              <w:top w:w="100" w:type="dxa"/>
              <w:left w:w="100" w:type="dxa"/>
              <w:bottom w:w="100" w:type="dxa"/>
              <w:right w:w="100" w:type="dxa"/>
            </w:tcMar>
            <w:hideMark/>
          </w:tcPr>
          <w:p w:rsidR="000177DA" w:rsidRPr="00D03CC9" w:rsidRDefault="00C33AFE" w:rsidP="00D03CC9">
            <w:pPr>
              <w:rPr>
                <w:rFonts w:ascii="Times New Roman" w:hAnsi="Times New Roman" w:cs="Times New Roman"/>
              </w:rPr>
            </w:pPr>
            <w:r w:rsidRPr="00D03CC9">
              <w:rPr>
                <w:rFonts w:ascii="Times New Roman" w:hAnsi="Times New Roman" w:cs="Times New Roman"/>
              </w:rPr>
              <w:t xml:space="preserve">   </w:t>
            </w:r>
            <w:r w:rsidR="00D03CC9" w:rsidRPr="00D03CC9">
              <w:rPr>
                <w:rFonts w:ascii="Times New Roman" w:hAnsi="Times New Roman" w:cs="Times New Roman"/>
              </w:rPr>
              <w:t xml:space="preserve">Для непрерывного обучения персонала в условиях постоянно меняющейся </w:t>
            </w:r>
            <w:proofErr w:type="spellStart"/>
            <w:proofErr w:type="gramStart"/>
            <w:r w:rsidR="00D03CC9" w:rsidRPr="00D03CC9">
              <w:rPr>
                <w:rFonts w:ascii="Times New Roman" w:hAnsi="Times New Roman" w:cs="Times New Roman"/>
              </w:rPr>
              <w:t>бизнес-среды</w:t>
            </w:r>
            <w:proofErr w:type="spellEnd"/>
            <w:proofErr w:type="gramEnd"/>
            <w:r w:rsidR="00D03CC9" w:rsidRPr="00D03CC9">
              <w:rPr>
                <w:rFonts w:ascii="Times New Roman" w:hAnsi="Times New Roman" w:cs="Times New Roman"/>
              </w:rPr>
              <w:t>, наиболее существенным компонентом корпоративного обучения является электронное обучение. Актуальность и значимость электронного обучения вызвана глобальными процессами перехода к цифровой экономике и цифровому обществу. Данный вид обучения организациям позволяет быстро и эффективно реагировать на меняющуюся ситуацию, предоставляя сотрудникам актуальные им знания по первому требованию и без отрыва от их основной деятельности. Именно поэтому электронное обучение позволяет современным компаниям рассматривают его в качестве инвестиции, которая помогает предприятию удержать конкурентное преимущество.</w:t>
            </w:r>
          </w:p>
        </w:tc>
      </w:tr>
      <w:tr w:rsidR="000177DA" w:rsidRPr="000177DA" w:rsidTr="00D03CC9">
        <w:trPr>
          <w:trHeight w:val="635"/>
        </w:trPr>
        <w:tc>
          <w:tcPr>
            <w:tcW w:w="0" w:type="auto"/>
            <w:tcBorders>
              <w:top w:val="single" w:sz="12" w:space="0" w:color="808080"/>
              <w:left w:val="single" w:sz="12" w:space="0" w:color="808080"/>
              <w:bottom w:val="single" w:sz="12" w:space="0" w:color="808080"/>
              <w:right w:val="single" w:sz="12" w:space="0" w:color="808080"/>
            </w:tcBorders>
            <w:shd w:val="clear" w:color="auto" w:fill="FFFFFF"/>
            <w:tcMar>
              <w:top w:w="100" w:type="dxa"/>
              <w:left w:w="100" w:type="dxa"/>
              <w:bottom w:w="100" w:type="dxa"/>
              <w:right w:w="100" w:type="dxa"/>
            </w:tcMar>
            <w:hideMark/>
          </w:tcPr>
          <w:p w:rsidR="00C118C3" w:rsidRPr="00C33AFE" w:rsidRDefault="00C33AFE" w:rsidP="00D03CC9">
            <w:pPr>
              <w:rPr>
                <w:rFonts w:ascii="Times New Roman" w:hAnsi="Times New Roman" w:cs="Times New Roman"/>
              </w:rPr>
            </w:pPr>
            <w:r w:rsidRPr="00C33AFE">
              <w:rPr>
                <w:rFonts w:ascii="Times New Roman" w:hAnsi="Times New Roman" w:cs="Times New Roman"/>
                <w:i/>
              </w:rPr>
              <w:t>ВЛАСОВА Е.З.</w:t>
            </w:r>
            <w:r w:rsidRPr="00C33AFE">
              <w:rPr>
                <w:rFonts w:ascii="Times New Roman" w:hAnsi="Times New Roman" w:cs="Times New Roman"/>
              </w:rPr>
              <w:t xml:space="preserve"> КОРПОРАТИВНОЕ ОБУЧЕНИЕ ПЕДАГОГОВ ТЕХНОЛОГИЯМ ЭЛЕКТРОННОГО ОБУЧЕНИЯ 2018</w:t>
            </w:r>
          </w:p>
          <w:p w:rsidR="00C33AFE" w:rsidRPr="00C33AFE" w:rsidRDefault="00C33AFE" w:rsidP="00D03CC9">
            <w:pPr>
              <w:rPr>
                <w:rFonts w:ascii="Times New Roman" w:hAnsi="Times New Roman" w:cs="Times New Roman"/>
              </w:rPr>
            </w:pPr>
            <w:hyperlink r:id="rId8" w:history="1">
              <w:r w:rsidRPr="00C33AFE">
                <w:rPr>
                  <w:rStyle w:val="a6"/>
                  <w:rFonts w:ascii="Times New Roman" w:hAnsi="Times New Roman" w:cs="Times New Roman"/>
                </w:rPr>
                <w:t>https://elibrary.ru/item.asp?id=35299647</w:t>
              </w:r>
            </w:hyperlink>
            <w:r w:rsidRPr="00C33AFE">
              <w:rPr>
                <w:rFonts w:ascii="Times New Roman" w:hAnsi="Times New Roman" w:cs="Times New Roman"/>
              </w:rPr>
              <w:t xml:space="preserve"> </w:t>
            </w:r>
          </w:p>
        </w:tc>
        <w:tc>
          <w:tcPr>
            <w:tcW w:w="0" w:type="auto"/>
            <w:tcBorders>
              <w:top w:val="single" w:sz="12" w:space="0" w:color="808080"/>
              <w:left w:val="single" w:sz="12" w:space="0" w:color="808080"/>
              <w:bottom w:val="single" w:sz="12" w:space="0" w:color="808080"/>
              <w:right w:val="single" w:sz="12" w:space="0" w:color="808080"/>
            </w:tcBorders>
            <w:shd w:val="clear" w:color="auto" w:fill="FFFFFF" w:themeFill="background1"/>
            <w:tcMar>
              <w:top w:w="100" w:type="dxa"/>
              <w:left w:w="100" w:type="dxa"/>
              <w:bottom w:w="100" w:type="dxa"/>
              <w:right w:w="100" w:type="dxa"/>
            </w:tcMar>
            <w:hideMark/>
          </w:tcPr>
          <w:p w:rsidR="000177DA" w:rsidRPr="00C33AFE" w:rsidRDefault="00C33AFE" w:rsidP="00D03CC9">
            <w:pPr>
              <w:rPr>
                <w:rFonts w:ascii="Times New Roman" w:hAnsi="Times New Roman" w:cs="Times New Roman"/>
              </w:rPr>
            </w:pPr>
            <w:r w:rsidRPr="00C33AFE">
              <w:rPr>
                <w:rFonts w:ascii="Times New Roman" w:hAnsi="Times New Roman" w:cs="Times New Roman"/>
              </w:rPr>
              <w:t xml:space="preserve"> В статье обосновывается актуальность подготовки современного учителя к использованию технологий электронного обучения. Предлагается программа дополнительного профессионального образования.</w:t>
            </w:r>
          </w:p>
        </w:tc>
      </w:tr>
      <w:tr w:rsidR="000177DA" w:rsidRPr="000177DA" w:rsidTr="00D03CC9">
        <w:trPr>
          <w:trHeight w:val="635"/>
        </w:trPr>
        <w:tc>
          <w:tcPr>
            <w:tcW w:w="0" w:type="auto"/>
            <w:tcBorders>
              <w:top w:val="single" w:sz="12" w:space="0" w:color="808080"/>
              <w:left w:val="single" w:sz="12" w:space="0" w:color="808080"/>
              <w:bottom w:val="single" w:sz="12" w:space="0" w:color="808080"/>
              <w:right w:val="single" w:sz="12" w:space="0" w:color="808080"/>
            </w:tcBorders>
            <w:shd w:val="clear" w:color="auto" w:fill="FFFFFF"/>
            <w:tcMar>
              <w:top w:w="100" w:type="dxa"/>
              <w:left w:w="100" w:type="dxa"/>
              <w:bottom w:w="100" w:type="dxa"/>
              <w:right w:w="100" w:type="dxa"/>
            </w:tcMar>
            <w:hideMark/>
          </w:tcPr>
          <w:p w:rsidR="00B32784" w:rsidRDefault="00B32784" w:rsidP="00D03CC9">
            <w:pPr>
              <w:rPr>
                <w:rFonts w:ascii="Times New Roman" w:hAnsi="Times New Roman" w:cs="Times New Roman"/>
              </w:rPr>
            </w:pPr>
            <w:r w:rsidRPr="00C33AFE">
              <w:rPr>
                <w:rFonts w:ascii="Times New Roman" w:hAnsi="Times New Roman" w:cs="Times New Roman"/>
                <w:i/>
              </w:rPr>
              <w:t xml:space="preserve"> </w:t>
            </w:r>
            <w:r w:rsidR="00C33AFE" w:rsidRPr="00C33AFE">
              <w:rPr>
                <w:rFonts w:ascii="Times New Roman" w:hAnsi="Times New Roman" w:cs="Times New Roman"/>
                <w:i/>
              </w:rPr>
              <w:t>СУТЯГИН М. В.</w:t>
            </w:r>
            <w:r w:rsidR="00C33AFE" w:rsidRPr="00C33AFE">
              <w:rPr>
                <w:rFonts w:ascii="Times New Roman" w:hAnsi="Times New Roman" w:cs="Times New Roman"/>
              </w:rPr>
              <w:t xml:space="preserve"> РАЗВИТИЕ КОРПОРАТИВНЫХ КОМПЕТЕНЦИЙ С ИСПОЛЬЗОВАНИЕМ СИСТЕМЫ ЭЛЕКТРОННОГО ОБУЧЕНИЯ</w:t>
            </w:r>
            <w:r w:rsidR="00D03CC9">
              <w:rPr>
                <w:rFonts w:ascii="Times New Roman" w:hAnsi="Times New Roman" w:cs="Times New Roman"/>
              </w:rPr>
              <w:t xml:space="preserve"> 2020</w:t>
            </w:r>
          </w:p>
          <w:p w:rsidR="00C33AFE" w:rsidRPr="00C33AFE" w:rsidRDefault="00C33AFE" w:rsidP="00D03CC9">
            <w:pPr>
              <w:rPr>
                <w:rFonts w:ascii="Times New Roman" w:hAnsi="Times New Roman" w:cs="Times New Roman"/>
              </w:rPr>
            </w:pPr>
            <w:hyperlink r:id="rId9" w:history="1">
              <w:r w:rsidRPr="00C00012">
                <w:rPr>
                  <w:rStyle w:val="a6"/>
                  <w:rFonts w:ascii="Times New Roman" w:hAnsi="Times New Roman" w:cs="Times New Roman"/>
                </w:rPr>
                <w:t>https://elibrary.ru/i</w:t>
              </w:r>
              <w:r w:rsidRPr="00C00012">
                <w:rPr>
                  <w:rStyle w:val="a6"/>
                  <w:rFonts w:ascii="Times New Roman" w:hAnsi="Times New Roman" w:cs="Times New Roman"/>
                </w:rPr>
                <w:t>t</w:t>
              </w:r>
              <w:r w:rsidRPr="00C00012">
                <w:rPr>
                  <w:rStyle w:val="a6"/>
                  <w:rFonts w:ascii="Times New Roman" w:hAnsi="Times New Roman" w:cs="Times New Roman"/>
                </w:rPr>
                <w:t>em.asp?id=43766640</w:t>
              </w:r>
            </w:hyperlink>
            <w:r>
              <w:rPr>
                <w:rFonts w:ascii="Times New Roman" w:hAnsi="Times New Roman" w:cs="Times New Roman"/>
              </w:rPr>
              <w:t xml:space="preserve"> </w:t>
            </w:r>
          </w:p>
        </w:tc>
        <w:tc>
          <w:tcPr>
            <w:tcW w:w="0" w:type="auto"/>
            <w:tcBorders>
              <w:top w:val="single" w:sz="12" w:space="0" w:color="808080"/>
              <w:left w:val="single" w:sz="12" w:space="0" w:color="808080"/>
              <w:bottom w:val="single" w:sz="12" w:space="0" w:color="808080"/>
              <w:right w:val="single" w:sz="12" w:space="0" w:color="808080"/>
            </w:tcBorders>
            <w:shd w:val="clear" w:color="auto" w:fill="FFFFFF"/>
            <w:tcMar>
              <w:top w:w="100" w:type="dxa"/>
              <w:left w:w="100" w:type="dxa"/>
              <w:bottom w:w="100" w:type="dxa"/>
              <w:right w:w="100" w:type="dxa"/>
            </w:tcMar>
            <w:hideMark/>
          </w:tcPr>
          <w:p w:rsidR="000177DA" w:rsidRPr="00C33AFE" w:rsidRDefault="00C33AFE" w:rsidP="00D03CC9">
            <w:pPr>
              <w:rPr>
                <w:rFonts w:ascii="Times New Roman" w:hAnsi="Times New Roman" w:cs="Times New Roman"/>
              </w:rPr>
            </w:pPr>
            <w:r w:rsidRPr="00C33AFE">
              <w:rPr>
                <w:rFonts w:ascii="Times New Roman" w:hAnsi="Times New Roman" w:cs="Times New Roman"/>
              </w:rPr>
              <w:t xml:space="preserve">В статье рассматриваются вопросы развития Национальной системы квалификаций, применения профессиональных стандартов, взаимосвязь требований профессиональных стандартов и </w:t>
            </w:r>
            <w:proofErr w:type="spellStart"/>
            <w:r w:rsidRPr="00C33AFE">
              <w:rPr>
                <w:rFonts w:ascii="Times New Roman" w:hAnsi="Times New Roman" w:cs="Times New Roman"/>
              </w:rPr>
              <w:t>компетентностного</w:t>
            </w:r>
            <w:proofErr w:type="spellEnd"/>
            <w:r w:rsidRPr="00C33AFE">
              <w:rPr>
                <w:rFonts w:ascii="Times New Roman" w:hAnsi="Times New Roman" w:cs="Times New Roman"/>
              </w:rPr>
              <w:t xml:space="preserve"> подхода. Рассматривается участие ПАО «Газпром» в создании Национальной системы квалификаций, разработке и внедрении профессиональных стандартов, </w:t>
            </w:r>
            <w:proofErr w:type="spellStart"/>
            <w:r w:rsidRPr="00C33AFE">
              <w:rPr>
                <w:rFonts w:ascii="Times New Roman" w:hAnsi="Times New Roman" w:cs="Times New Roman"/>
              </w:rPr>
              <w:t>комптентностный</w:t>
            </w:r>
            <w:proofErr w:type="spellEnd"/>
            <w:r w:rsidRPr="00C33AFE">
              <w:rPr>
                <w:rFonts w:ascii="Times New Roman" w:hAnsi="Times New Roman" w:cs="Times New Roman"/>
              </w:rPr>
              <w:t xml:space="preserve"> подход к управлению человеческими ресурсами. Показан подход к повышению квалификации и профессиональной переподготовке в ПАО «Газпром». Описана система самоподготовки с применением системы электронного обучения.</w:t>
            </w:r>
          </w:p>
        </w:tc>
      </w:tr>
      <w:tr w:rsidR="000177DA" w:rsidRPr="000177DA" w:rsidTr="00D03CC9">
        <w:trPr>
          <w:trHeight w:val="7695"/>
        </w:trPr>
        <w:tc>
          <w:tcPr>
            <w:tcW w:w="0" w:type="auto"/>
            <w:tcBorders>
              <w:top w:val="single" w:sz="12" w:space="0" w:color="808080"/>
              <w:left w:val="single" w:sz="12" w:space="0" w:color="808080"/>
              <w:bottom w:val="single" w:sz="4" w:space="0" w:color="auto"/>
              <w:right w:val="single" w:sz="12" w:space="0" w:color="808080"/>
            </w:tcBorders>
            <w:shd w:val="clear" w:color="auto" w:fill="FFFFFF"/>
            <w:tcMar>
              <w:top w:w="100" w:type="dxa"/>
              <w:left w:w="100" w:type="dxa"/>
              <w:bottom w:w="100" w:type="dxa"/>
              <w:right w:w="100" w:type="dxa"/>
            </w:tcMar>
            <w:hideMark/>
          </w:tcPr>
          <w:p w:rsidR="00C33AFE" w:rsidRPr="00C33AFE" w:rsidRDefault="002D7936" w:rsidP="00D03CC9">
            <w:pPr>
              <w:rPr>
                <w:rFonts w:ascii="Times New Roman" w:hAnsi="Times New Roman" w:cs="Times New Roman"/>
              </w:rPr>
            </w:pPr>
            <w:r w:rsidRPr="00C33AFE">
              <w:rPr>
                <w:rFonts w:ascii="Times New Roman" w:hAnsi="Times New Roman" w:cs="Times New Roman"/>
              </w:rPr>
              <w:lastRenderedPageBreak/>
              <w:t xml:space="preserve"> </w:t>
            </w:r>
            <w:r w:rsidR="00C33AFE" w:rsidRPr="00C33AFE">
              <w:rPr>
                <w:rFonts w:ascii="Times New Roman" w:hAnsi="Times New Roman" w:cs="Times New Roman"/>
                <w:i/>
              </w:rPr>
              <w:t>ЗАСЛАВСКАЯ О. Ю., ЛЕВЧЕНКО М. С.</w:t>
            </w:r>
            <w:r w:rsidR="00C33AFE" w:rsidRPr="00C33AFE">
              <w:rPr>
                <w:rFonts w:ascii="Times New Roman" w:hAnsi="Times New Roman" w:cs="Times New Roman"/>
              </w:rPr>
              <w:t xml:space="preserve"> ПРОЕКТИРОВАНИЕ СИСТЕМЫ ЭЛЕКТРОННЫХ УЧЕБНЫХ МАТЕРИАЛОВ ДЛЯ ДИСТАНЦИОННОГО ПОСТТРЕНИНГОВОГО СОПРОВОЖДЕНИЯ ПРИ КОРПОРАТИВНОМ ОБУЧЕНИИ</w:t>
            </w:r>
            <w:r w:rsidR="00D03CC9">
              <w:rPr>
                <w:rFonts w:ascii="Times New Roman" w:hAnsi="Times New Roman" w:cs="Times New Roman"/>
              </w:rPr>
              <w:t xml:space="preserve"> 2020</w:t>
            </w:r>
          </w:p>
          <w:p w:rsidR="002D7936" w:rsidRPr="00C33AFE" w:rsidRDefault="00C33AFE" w:rsidP="00D03CC9">
            <w:pPr>
              <w:rPr>
                <w:rFonts w:ascii="Times New Roman" w:hAnsi="Times New Roman" w:cs="Times New Roman"/>
              </w:rPr>
            </w:pPr>
            <w:hyperlink r:id="rId10" w:history="1">
              <w:r w:rsidRPr="00C00012">
                <w:rPr>
                  <w:rStyle w:val="a6"/>
                  <w:rFonts w:ascii="Times New Roman" w:hAnsi="Times New Roman" w:cs="Times New Roman"/>
                </w:rPr>
                <w:t>https://elibrary.ru/item.asp?id=4</w:t>
              </w:r>
              <w:r w:rsidRPr="00C00012">
                <w:rPr>
                  <w:rStyle w:val="a6"/>
                  <w:rFonts w:ascii="Times New Roman" w:hAnsi="Times New Roman" w:cs="Times New Roman"/>
                </w:rPr>
                <w:t>2</w:t>
              </w:r>
              <w:r w:rsidRPr="00C00012">
                <w:rPr>
                  <w:rStyle w:val="a6"/>
                  <w:rFonts w:ascii="Times New Roman" w:hAnsi="Times New Roman" w:cs="Times New Roman"/>
                </w:rPr>
                <w:t>834557</w:t>
              </w:r>
            </w:hyperlink>
            <w:r>
              <w:rPr>
                <w:rFonts w:ascii="Times New Roman" w:hAnsi="Times New Roman" w:cs="Times New Roman"/>
              </w:rPr>
              <w:t xml:space="preserve"> </w:t>
            </w:r>
          </w:p>
        </w:tc>
        <w:tc>
          <w:tcPr>
            <w:tcW w:w="0" w:type="auto"/>
            <w:tcBorders>
              <w:top w:val="single" w:sz="12" w:space="0" w:color="808080"/>
              <w:left w:val="single" w:sz="12" w:space="0" w:color="808080"/>
              <w:bottom w:val="single" w:sz="4" w:space="0" w:color="auto"/>
              <w:right w:val="single" w:sz="12" w:space="0" w:color="808080"/>
            </w:tcBorders>
            <w:shd w:val="clear" w:color="auto" w:fill="FFFFFF"/>
            <w:tcMar>
              <w:top w:w="100" w:type="dxa"/>
              <w:left w:w="100" w:type="dxa"/>
              <w:bottom w:w="100" w:type="dxa"/>
              <w:right w:w="100" w:type="dxa"/>
            </w:tcMar>
            <w:hideMark/>
          </w:tcPr>
          <w:p w:rsidR="000177DA" w:rsidRPr="00C33AFE" w:rsidRDefault="00C33AFE" w:rsidP="00D03CC9">
            <w:pPr>
              <w:rPr>
                <w:rFonts w:ascii="Times New Roman" w:hAnsi="Times New Roman" w:cs="Times New Roman"/>
              </w:rPr>
            </w:pPr>
            <w:r w:rsidRPr="00C33AFE">
              <w:rPr>
                <w:rFonts w:ascii="Times New Roman" w:hAnsi="Times New Roman" w:cs="Times New Roman"/>
              </w:rPr>
              <w:t xml:space="preserve">Проблема и цель. В статье рассмотрены способы организации электронных учебных материалов для </w:t>
            </w:r>
            <w:proofErr w:type="spellStart"/>
            <w:r w:rsidRPr="00C33AFE">
              <w:rPr>
                <w:rFonts w:ascii="Times New Roman" w:hAnsi="Times New Roman" w:cs="Times New Roman"/>
              </w:rPr>
              <w:t>посттренингового</w:t>
            </w:r>
            <w:proofErr w:type="spellEnd"/>
            <w:r w:rsidRPr="00C33AFE">
              <w:rPr>
                <w:rFonts w:ascii="Times New Roman" w:hAnsi="Times New Roman" w:cs="Times New Roman"/>
              </w:rPr>
              <w:t xml:space="preserve"> сопровождения. Актуальность статьи определяется, с одной стороны, внешними потребностями к расширению сферы образования, задачами дальнейшего развития информатизации образования, а с другой стороны, внутренними потребностями развития информационной культуры </w:t>
            </w:r>
            <w:proofErr w:type="gramStart"/>
            <w:r w:rsidRPr="00C33AFE">
              <w:rPr>
                <w:rFonts w:ascii="Times New Roman" w:hAnsi="Times New Roman" w:cs="Times New Roman"/>
              </w:rPr>
              <w:t>обучающихся</w:t>
            </w:r>
            <w:proofErr w:type="gramEnd"/>
            <w:r w:rsidRPr="00C33AFE">
              <w:rPr>
                <w:rFonts w:ascii="Times New Roman" w:hAnsi="Times New Roman" w:cs="Times New Roman"/>
              </w:rPr>
              <w:t xml:space="preserve"> [1; 13; 6-8]. Проблема определяется наличием противоречия между существующим высоким дидактическим потенциалом дистанционного </w:t>
            </w:r>
            <w:proofErr w:type="spellStart"/>
            <w:r w:rsidRPr="00C33AFE">
              <w:rPr>
                <w:rFonts w:ascii="Times New Roman" w:hAnsi="Times New Roman" w:cs="Times New Roman"/>
              </w:rPr>
              <w:t>посттренингового</w:t>
            </w:r>
            <w:proofErr w:type="spellEnd"/>
            <w:r w:rsidRPr="00C33AFE">
              <w:rPr>
                <w:rFonts w:ascii="Times New Roman" w:hAnsi="Times New Roman" w:cs="Times New Roman"/>
              </w:rPr>
              <w:t xml:space="preserve"> сопровождения, важностью такого обучения для эффективной подготовки обучающихся и отсутствием такого обучения, реализованного на использовании структурного подхода при проектировании и использовании системы электронных учебных материалов. Цель статьи заключается в описании подходов к разработке и апробации реализованных на основе структурного подхода системы электронных учебных материалов для организации </w:t>
            </w:r>
            <w:proofErr w:type="spellStart"/>
            <w:r w:rsidRPr="00C33AFE">
              <w:rPr>
                <w:rFonts w:ascii="Times New Roman" w:hAnsi="Times New Roman" w:cs="Times New Roman"/>
              </w:rPr>
              <w:t>посттренингового</w:t>
            </w:r>
            <w:proofErr w:type="spellEnd"/>
            <w:r w:rsidRPr="00C33AFE">
              <w:rPr>
                <w:rFonts w:ascii="Times New Roman" w:hAnsi="Times New Roman" w:cs="Times New Roman"/>
              </w:rPr>
              <w:t xml:space="preserve"> сопровождения с использованием технологий дистанционного обучения. Методология. </w:t>
            </w:r>
            <w:proofErr w:type="gramStart"/>
            <w:r w:rsidRPr="00C33AFE">
              <w:rPr>
                <w:rFonts w:ascii="Times New Roman" w:hAnsi="Times New Roman" w:cs="Times New Roman"/>
              </w:rPr>
              <w:t xml:space="preserve">Методологической основой послужили идеи реализации дистанционного обучения, представленные в работах А.А. Андреева, Е.С. </w:t>
            </w:r>
            <w:proofErr w:type="spellStart"/>
            <w:r w:rsidRPr="00C33AFE">
              <w:rPr>
                <w:rFonts w:ascii="Times New Roman" w:hAnsi="Times New Roman" w:cs="Times New Roman"/>
              </w:rPr>
              <w:t>Полат</w:t>
            </w:r>
            <w:proofErr w:type="spellEnd"/>
            <w:r w:rsidRPr="00C33AFE">
              <w:rPr>
                <w:rFonts w:ascii="Times New Roman" w:hAnsi="Times New Roman" w:cs="Times New Roman"/>
              </w:rPr>
              <w:t xml:space="preserve">, В.И. Солдаткина и др.; основные положения теории </w:t>
            </w:r>
            <w:proofErr w:type="spellStart"/>
            <w:r w:rsidRPr="00C33AFE">
              <w:rPr>
                <w:rFonts w:ascii="Times New Roman" w:hAnsi="Times New Roman" w:cs="Times New Roman"/>
              </w:rPr>
              <w:t>технологизации</w:t>
            </w:r>
            <w:proofErr w:type="spellEnd"/>
            <w:r w:rsidRPr="00C33AFE">
              <w:rPr>
                <w:rFonts w:ascii="Times New Roman" w:hAnsi="Times New Roman" w:cs="Times New Roman"/>
              </w:rPr>
              <w:t xml:space="preserve"> процесса обучения, которые исследовали В.П. Беспалько, П.И. </w:t>
            </w:r>
            <w:proofErr w:type="spellStart"/>
            <w:r w:rsidRPr="00C33AFE">
              <w:rPr>
                <w:rFonts w:ascii="Times New Roman" w:hAnsi="Times New Roman" w:cs="Times New Roman"/>
              </w:rPr>
              <w:t>Пидкасистый</w:t>
            </w:r>
            <w:proofErr w:type="spellEnd"/>
            <w:r w:rsidRPr="00C33AFE">
              <w:rPr>
                <w:rFonts w:ascii="Times New Roman" w:hAnsi="Times New Roman" w:cs="Times New Roman"/>
              </w:rPr>
              <w:t xml:space="preserve">, Г.К. </w:t>
            </w:r>
            <w:proofErr w:type="spellStart"/>
            <w:r w:rsidRPr="00C33AFE">
              <w:rPr>
                <w:rFonts w:ascii="Times New Roman" w:hAnsi="Times New Roman" w:cs="Times New Roman"/>
              </w:rPr>
              <w:t>Селевко</w:t>
            </w:r>
            <w:proofErr w:type="spellEnd"/>
            <w:r w:rsidRPr="00C33AFE">
              <w:rPr>
                <w:rFonts w:ascii="Times New Roman" w:hAnsi="Times New Roman" w:cs="Times New Roman"/>
              </w:rPr>
              <w:t xml:space="preserve">, А.М. </w:t>
            </w:r>
            <w:proofErr w:type="spellStart"/>
            <w:r w:rsidRPr="00C33AFE">
              <w:rPr>
                <w:rFonts w:ascii="Times New Roman" w:hAnsi="Times New Roman" w:cs="Times New Roman"/>
              </w:rPr>
              <w:t>Сохор</w:t>
            </w:r>
            <w:proofErr w:type="spellEnd"/>
            <w:r w:rsidRPr="00C33AFE">
              <w:rPr>
                <w:rFonts w:ascii="Times New Roman" w:hAnsi="Times New Roman" w:cs="Times New Roman"/>
              </w:rPr>
              <w:t xml:space="preserve"> и др.; вопросы структурирования учебных материалов, которые рассматривали И.В. Акимова, А.И. Архипова, Ю.И. </w:t>
            </w:r>
            <w:proofErr w:type="spellStart"/>
            <w:r w:rsidRPr="00C33AFE">
              <w:rPr>
                <w:rFonts w:ascii="Times New Roman" w:hAnsi="Times New Roman" w:cs="Times New Roman"/>
              </w:rPr>
              <w:t>Аскерко</w:t>
            </w:r>
            <w:proofErr w:type="spellEnd"/>
            <w:r w:rsidRPr="00C33AFE">
              <w:rPr>
                <w:rFonts w:ascii="Times New Roman" w:hAnsi="Times New Roman" w:cs="Times New Roman"/>
              </w:rPr>
              <w:t>, И.В.</w:t>
            </w:r>
            <w:proofErr w:type="gramEnd"/>
            <w:r w:rsidRPr="00C33AFE">
              <w:rPr>
                <w:rFonts w:ascii="Times New Roman" w:hAnsi="Times New Roman" w:cs="Times New Roman"/>
              </w:rPr>
              <w:t xml:space="preserve"> </w:t>
            </w:r>
            <w:proofErr w:type="gramStart"/>
            <w:r w:rsidRPr="00C33AFE">
              <w:rPr>
                <w:rFonts w:ascii="Times New Roman" w:hAnsi="Times New Roman" w:cs="Times New Roman"/>
              </w:rPr>
              <w:t xml:space="preserve">Буров, С.А. </w:t>
            </w:r>
            <w:proofErr w:type="spellStart"/>
            <w:r w:rsidRPr="00C33AFE">
              <w:rPr>
                <w:rFonts w:ascii="Times New Roman" w:hAnsi="Times New Roman" w:cs="Times New Roman"/>
              </w:rPr>
              <w:t>Бутаков</w:t>
            </w:r>
            <w:proofErr w:type="spellEnd"/>
            <w:r w:rsidRPr="00C33AFE">
              <w:rPr>
                <w:rFonts w:ascii="Times New Roman" w:hAnsi="Times New Roman" w:cs="Times New Roman"/>
              </w:rPr>
              <w:t xml:space="preserve">, Л.П. Воронина, Д.В. Данилов, А.М. </w:t>
            </w:r>
            <w:proofErr w:type="spellStart"/>
            <w:r w:rsidRPr="00C33AFE">
              <w:rPr>
                <w:rFonts w:ascii="Times New Roman" w:hAnsi="Times New Roman" w:cs="Times New Roman"/>
              </w:rPr>
              <w:t>Сохор</w:t>
            </w:r>
            <w:proofErr w:type="spellEnd"/>
            <w:r w:rsidRPr="00C33AFE">
              <w:rPr>
                <w:rFonts w:ascii="Times New Roman" w:hAnsi="Times New Roman" w:cs="Times New Roman"/>
              </w:rPr>
              <w:t xml:space="preserve">, О.Е. Филиппов, Л.С. </w:t>
            </w:r>
            <w:proofErr w:type="spellStart"/>
            <w:r w:rsidRPr="00C33AFE">
              <w:rPr>
                <w:rFonts w:ascii="Times New Roman" w:hAnsi="Times New Roman" w:cs="Times New Roman"/>
              </w:rPr>
              <w:t>Чернышов</w:t>
            </w:r>
            <w:proofErr w:type="spellEnd"/>
            <w:r w:rsidRPr="00C33AFE">
              <w:rPr>
                <w:rFonts w:ascii="Times New Roman" w:hAnsi="Times New Roman" w:cs="Times New Roman"/>
              </w:rPr>
              <w:t xml:space="preserve"> и др. Научные статьи, посвященные вопросам корпоративного обучения и развития персонала, представлены такими авторами, как А. Бычков, О. Дугина, Ж. Завьялова, И. Колодкина, А. Корольков, А. Матвеев, А. Мирошниченко, О. Найдёнов, М.В. Кларин, А. Новикова, Н. Титова, Н. Хрящева, О.</w:t>
            </w:r>
            <w:proofErr w:type="gramEnd"/>
            <w:r w:rsidRPr="00C33AFE">
              <w:rPr>
                <w:rFonts w:ascii="Times New Roman" w:hAnsi="Times New Roman" w:cs="Times New Roman"/>
              </w:rPr>
              <w:t xml:space="preserve"> </w:t>
            </w:r>
            <w:proofErr w:type="spellStart"/>
            <w:r w:rsidRPr="00C33AFE">
              <w:rPr>
                <w:rFonts w:ascii="Times New Roman" w:hAnsi="Times New Roman" w:cs="Times New Roman"/>
              </w:rPr>
              <w:lastRenderedPageBreak/>
              <w:t>Эмих</w:t>
            </w:r>
            <w:proofErr w:type="spellEnd"/>
            <w:r w:rsidRPr="00C33AFE">
              <w:rPr>
                <w:rFonts w:ascii="Times New Roman" w:hAnsi="Times New Roman" w:cs="Times New Roman"/>
              </w:rPr>
              <w:t xml:space="preserve">, А. </w:t>
            </w:r>
            <w:proofErr w:type="spellStart"/>
            <w:r w:rsidRPr="00C33AFE">
              <w:rPr>
                <w:rFonts w:ascii="Times New Roman" w:hAnsi="Times New Roman" w:cs="Times New Roman"/>
              </w:rPr>
              <w:t>Сатвалов</w:t>
            </w:r>
            <w:proofErr w:type="spellEnd"/>
            <w:r w:rsidRPr="00C33AFE">
              <w:rPr>
                <w:rFonts w:ascii="Times New Roman" w:hAnsi="Times New Roman" w:cs="Times New Roman"/>
              </w:rPr>
              <w:t xml:space="preserve">. Результаты. Обоснованы целесообразность использования технологий дистанционного обучения при реализации </w:t>
            </w:r>
            <w:proofErr w:type="spellStart"/>
            <w:r w:rsidRPr="00C33AFE">
              <w:rPr>
                <w:rFonts w:ascii="Times New Roman" w:hAnsi="Times New Roman" w:cs="Times New Roman"/>
              </w:rPr>
              <w:t>посттренингового</w:t>
            </w:r>
            <w:proofErr w:type="spellEnd"/>
            <w:r w:rsidRPr="00C33AFE">
              <w:rPr>
                <w:rFonts w:ascii="Times New Roman" w:hAnsi="Times New Roman" w:cs="Times New Roman"/>
              </w:rPr>
              <w:t xml:space="preserve"> сопровождения обучающихся, а также применение структурного подхода к проектированию и использованию системы учебных материалов для дистанционного </w:t>
            </w:r>
            <w:proofErr w:type="spellStart"/>
            <w:r w:rsidRPr="00C33AFE">
              <w:rPr>
                <w:rFonts w:ascii="Times New Roman" w:hAnsi="Times New Roman" w:cs="Times New Roman"/>
              </w:rPr>
              <w:t>посттренингового</w:t>
            </w:r>
            <w:proofErr w:type="spellEnd"/>
            <w:r w:rsidRPr="00C33AFE">
              <w:rPr>
                <w:rFonts w:ascii="Times New Roman" w:hAnsi="Times New Roman" w:cs="Times New Roman"/>
              </w:rPr>
              <w:t xml:space="preserve"> сопровождения обучающихся. Выявлены принципы и условия использования структурного подхода как оснований для проектирования и использования специальным образом подобранных учебных материалов, систематизированных в виде набора компетенций и представленных с помощью дистанционных форм обучения. Отобраны информационные и телекоммуникационные технологии и ресурсы сети Интернет, позволяющие организовать дистанционное </w:t>
            </w:r>
            <w:proofErr w:type="spellStart"/>
            <w:r w:rsidRPr="00C33AFE">
              <w:rPr>
                <w:rFonts w:ascii="Times New Roman" w:hAnsi="Times New Roman" w:cs="Times New Roman"/>
              </w:rPr>
              <w:t>посттренинговое</w:t>
            </w:r>
            <w:proofErr w:type="spellEnd"/>
            <w:r w:rsidRPr="00C33AFE">
              <w:rPr>
                <w:rFonts w:ascii="Times New Roman" w:hAnsi="Times New Roman" w:cs="Times New Roman"/>
              </w:rPr>
              <w:t xml:space="preserve"> сопровождение с учетом индивидуальной траектории обучения. Заключение. Результаты позволили сделать вывод, что эффективность предложенных подходов к отбору, проектированию и использованию системы учебных материалов позволяет учитывать следующие аспекты: учет параметров обучения, уровень развития, уровень сформированной компетентности, уровень развития мотивации. Предложенная модель дистанционного </w:t>
            </w:r>
            <w:proofErr w:type="spellStart"/>
            <w:r w:rsidRPr="00C33AFE">
              <w:rPr>
                <w:rFonts w:ascii="Times New Roman" w:hAnsi="Times New Roman" w:cs="Times New Roman"/>
              </w:rPr>
              <w:t>посттренингового</w:t>
            </w:r>
            <w:proofErr w:type="spellEnd"/>
            <w:r w:rsidRPr="00C33AFE">
              <w:rPr>
                <w:rFonts w:ascii="Times New Roman" w:hAnsi="Times New Roman" w:cs="Times New Roman"/>
              </w:rPr>
              <w:t xml:space="preserve"> сопровождения обучающихся на примере дисциплины «Информационные технологии в управлении образовательным процессом», основанная на использовании структурного подхода, содержащая специальным образом составленную систему электронных учебных материалов, позволила повысить эффективность обучения магистрантов и выстроить индивидуальный маршрут обучения.</w:t>
            </w:r>
          </w:p>
        </w:tc>
      </w:tr>
      <w:tr w:rsidR="00EC2838" w:rsidRPr="000177DA" w:rsidTr="00D03CC9">
        <w:trPr>
          <w:trHeight w:val="300"/>
        </w:trPr>
        <w:tc>
          <w:tcPr>
            <w:tcW w:w="0" w:type="auto"/>
            <w:tcBorders>
              <w:top w:val="single" w:sz="4" w:space="0" w:color="auto"/>
              <w:left w:val="single" w:sz="12" w:space="0" w:color="808080"/>
              <w:bottom w:val="single" w:sz="12" w:space="0" w:color="808080"/>
              <w:right w:val="single" w:sz="12" w:space="0" w:color="808080"/>
            </w:tcBorders>
            <w:shd w:val="clear" w:color="auto" w:fill="FFFFFF"/>
            <w:tcMar>
              <w:top w:w="100" w:type="dxa"/>
              <w:left w:w="100" w:type="dxa"/>
              <w:bottom w:w="100" w:type="dxa"/>
              <w:right w:w="100" w:type="dxa"/>
            </w:tcMar>
            <w:hideMark/>
          </w:tcPr>
          <w:p w:rsidR="00C33AFE" w:rsidRDefault="00D03CC9" w:rsidP="00D03CC9">
            <w:pPr>
              <w:rPr>
                <w:rFonts w:ascii="Times New Roman" w:hAnsi="Times New Roman" w:cs="Times New Roman"/>
              </w:rPr>
            </w:pPr>
            <w:r w:rsidRPr="00D03CC9">
              <w:rPr>
                <w:rFonts w:ascii="Times New Roman" w:hAnsi="Times New Roman" w:cs="Times New Roman"/>
                <w:i/>
              </w:rPr>
              <w:lastRenderedPageBreak/>
              <w:t>ТАТАРИНОВ К.</w:t>
            </w:r>
            <w:r w:rsidR="00C33AFE" w:rsidRPr="00D03CC9">
              <w:rPr>
                <w:rFonts w:ascii="Times New Roman" w:hAnsi="Times New Roman" w:cs="Times New Roman"/>
                <w:i/>
              </w:rPr>
              <w:t xml:space="preserve"> А</w:t>
            </w:r>
            <w:r w:rsidRPr="00D03CC9">
              <w:rPr>
                <w:rFonts w:ascii="Times New Roman" w:hAnsi="Times New Roman" w:cs="Times New Roman"/>
                <w:i/>
              </w:rPr>
              <w:t xml:space="preserve">., </w:t>
            </w:r>
            <w:r w:rsidR="00C33AFE" w:rsidRPr="00D03CC9">
              <w:rPr>
                <w:rFonts w:ascii="Times New Roman" w:hAnsi="Times New Roman" w:cs="Times New Roman"/>
                <w:i/>
              </w:rPr>
              <w:t>БОДЯК Д. А</w:t>
            </w:r>
            <w:r w:rsidR="00C33AFE" w:rsidRPr="00D03CC9">
              <w:rPr>
                <w:rFonts w:ascii="Times New Roman" w:hAnsi="Times New Roman" w:cs="Times New Roman"/>
              </w:rPr>
              <w:t>.</w:t>
            </w:r>
            <w:r w:rsidRPr="00D03CC9">
              <w:rPr>
                <w:rFonts w:ascii="Times New Roman" w:hAnsi="Times New Roman" w:cs="Times New Roman"/>
              </w:rPr>
              <w:t xml:space="preserve"> КОРПОРАТИВНОЕ ЭЛЕКТРОННОЕ ОБУЧЕНИЕ 2020</w:t>
            </w:r>
          </w:p>
          <w:p w:rsidR="00D03CC9" w:rsidRPr="00D03CC9" w:rsidRDefault="00D03CC9" w:rsidP="00D03CC9">
            <w:pPr>
              <w:rPr>
                <w:rFonts w:ascii="Times New Roman" w:hAnsi="Times New Roman" w:cs="Times New Roman"/>
              </w:rPr>
            </w:pPr>
            <w:hyperlink r:id="rId11" w:history="1">
              <w:r w:rsidRPr="00C00012">
                <w:rPr>
                  <w:rStyle w:val="a6"/>
                  <w:rFonts w:ascii="Times New Roman" w:hAnsi="Times New Roman" w:cs="Times New Roman"/>
                </w:rPr>
                <w:t>https://elibrary.ru/item.asp?id=42930172</w:t>
              </w:r>
            </w:hyperlink>
            <w:r>
              <w:rPr>
                <w:rFonts w:ascii="Times New Roman" w:hAnsi="Times New Roman" w:cs="Times New Roman"/>
              </w:rPr>
              <w:t xml:space="preserve"> </w:t>
            </w:r>
          </w:p>
          <w:p w:rsidR="00D03CC9" w:rsidRPr="00D03CC9" w:rsidRDefault="00D03CC9" w:rsidP="00D03CC9">
            <w:pPr>
              <w:rPr>
                <w:rFonts w:ascii="Times New Roman" w:hAnsi="Times New Roman" w:cs="Times New Roman"/>
              </w:rPr>
            </w:pPr>
          </w:p>
          <w:p w:rsidR="00EC2838" w:rsidRPr="00D03CC9" w:rsidRDefault="00EC2838" w:rsidP="00D03CC9">
            <w:pPr>
              <w:rPr>
                <w:rFonts w:ascii="Times New Roman" w:hAnsi="Times New Roman" w:cs="Times New Roman"/>
              </w:rPr>
            </w:pPr>
          </w:p>
        </w:tc>
        <w:tc>
          <w:tcPr>
            <w:tcW w:w="0" w:type="auto"/>
            <w:tcBorders>
              <w:top w:val="single" w:sz="4" w:space="0" w:color="auto"/>
              <w:left w:val="single" w:sz="12" w:space="0" w:color="808080"/>
              <w:bottom w:val="single" w:sz="12" w:space="0" w:color="808080"/>
              <w:right w:val="single" w:sz="12" w:space="0" w:color="808080"/>
            </w:tcBorders>
            <w:shd w:val="clear" w:color="auto" w:fill="FFFFFF"/>
            <w:tcMar>
              <w:top w:w="100" w:type="dxa"/>
              <w:left w:w="100" w:type="dxa"/>
              <w:bottom w:w="100" w:type="dxa"/>
              <w:right w:w="100" w:type="dxa"/>
            </w:tcMar>
            <w:hideMark/>
          </w:tcPr>
          <w:p w:rsidR="00EC2838" w:rsidRPr="00D03CC9" w:rsidRDefault="00D03CC9" w:rsidP="00D03CC9">
            <w:pPr>
              <w:rPr>
                <w:rFonts w:ascii="Times New Roman" w:hAnsi="Times New Roman" w:cs="Times New Roman"/>
              </w:rPr>
            </w:pPr>
            <w:r w:rsidRPr="00D03CC9">
              <w:rPr>
                <w:rFonts w:ascii="Times New Roman" w:hAnsi="Times New Roman" w:cs="Times New Roman"/>
              </w:rPr>
              <w:lastRenderedPageBreak/>
              <w:t xml:space="preserve">Обучение и развитие сотрудников в корпорациях предусматривает использование технологий </w:t>
            </w:r>
            <w:proofErr w:type="spellStart"/>
            <w:r w:rsidRPr="00D03CC9">
              <w:rPr>
                <w:rFonts w:ascii="Times New Roman" w:hAnsi="Times New Roman" w:cs="Times New Roman"/>
              </w:rPr>
              <w:t>e-learning</w:t>
            </w:r>
            <w:proofErr w:type="spellEnd"/>
            <w:r w:rsidRPr="00D03CC9">
              <w:rPr>
                <w:rFonts w:ascii="Times New Roman" w:hAnsi="Times New Roman" w:cs="Times New Roman"/>
              </w:rPr>
              <w:t xml:space="preserve">. Социальное обучение, массовые открытые онлайновые курсы и </w:t>
            </w:r>
            <w:proofErr w:type="spellStart"/>
            <w:r w:rsidRPr="00D03CC9">
              <w:rPr>
                <w:rFonts w:ascii="Times New Roman" w:hAnsi="Times New Roman" w:cs="Times New Roman"/>
              </w:rPr>
              <w:t>вебинары</w:t>
            </w:r>
            <w:proofErr w:type="spellEnd"/>
            <w:r w:rsidRPr="00D03CC9">
              <w:rPr>
                <w:rFonts w:ascii="Times New Roman" w:hAnsi="Times New Roman" w:cs="Times New Roman"/>
              </w:rPr>
              <w:t xml:space="preserve"> представляют </w:t>
            </w:r>
            <w:r w:rsidRPr="00D03CC9">
              <w:rPr>
                <w:rFonts w:ascii="Times New Roman" w:hAnsi="Times New Roman" w:cs="Times New Roman"/>
              </w:rPr>
              <w:lastRenderedPageBreak/>
              <w:t xml:space="preserve">собой доступные форматы и способы передачи корпоративного опыта и знаний. Практически во всех видах бизнеса успех напрямую зависит от профессионализма сотрудников. В цифровой экономике постоянное и непрерывное обучение - это естественный процесс. Без него компании стать </w:t>
            </w:r>
            <w:proofErr w:type="spellStart"/>
            <w:r w:rsidRPr="00D03CC9">
              <w:rPr>
                <w:rFonts w:ascii="Times New Roman" w:hAnsi="Times New Roman" w:cs="Times New Roman"/>
              </w:rPr>
              <w:t>высокоприбыльной</w:t>
            </w:r>
            <w:proofErr w:type="spellEnd"/>
            <w:r w:rsidRPr="00D03CC9">
              <w:rPr>
                <w:rFonts w:ascii="Times New Roman" w:hAnsi="Times New Roman" w:cs="Times New Roman"/>
              </w:rPr>
              <w:t xml:space="preserve"> и </w:t>
            </w:r>
            <w:proofErr w:type="spellStart"/>
            <w:r w:rsidRPr="00D03CC9">
              <w:rPr>
                <w:rFonts w:ascii="Times New Roman" w:hAnsi="Times New Roman" w:cs="Times New Roman"/>
              </w:rPr>
              <w:t>клиентоориентированной</w:t>
            </w:r>
            <w:proofErr w:type="spellEnd"/>
            <w:r w:rsidRPr="00D03CC9">
              <w:rPr>
                <w:rFonts w:ascii="Times New Roman" w:hAnsi="Times New Roman" w:cs="Times New Roman"/>
              </w:rPr>
              <w:t xml:space="preserve"> невозможно. Гибкий график и индивидуализированная учебная программа позволяют повышать квалификацию людям практически любого возраста. Это не только способствует росту профессионализма сотрудников, но и обогащает их личную и духовную жизнь. Кроме того, темпы роста интеллектуального капитала населения страны напрямую влияют на рост валового внутреннего продукта на душу населения. В статье рассмотрены причины предпочтения </w:t>
            </w:r>
            <w:proofErr w:type="spellStart"/>
            <w:r w:rsidRPr="00D03CC9">
              <w:rPr>
                <w:rFonts w:ascii="Times New Roman" w:hAnsi="Times New Roman" w:cs="Times New Roman"/>
              </w:rPr>
              <w:t>неинституционального</w:t>
            </w:r>
            <w:proofErr w:type="spellEnd"/>
            <w:r w:rsidRPr="00D03CC9">
              <w:rPr>
                <w:rFonts w:ascii="Times New Roman" w:hAnsi="Times New Roman" w:cs="Times New Roman"/>
              </w:rPr>
              <w:t xml:space="preserve"> электронного обучения </w:t>
            </w:r>
            <w:proofErr w:type="gramStart"/>
            <w:r w:rsidRPr="00D03CC9">
              <w:rPr>
                <w:rFonts w:ascii="Times New Roman" w:hAnsi="Times New Roman" w:cs="Times New Roman"/>
              </w:rPr>
              <w:t>традиционному</w:t>
            </w:r>
            <w:proofErr w:type="gramEnd"/>
            <w:r w:rsidRPr="00D03CC9">
              <w:rPr>
                <w:rFonts w:ascii="Times New Roman" w:hAnsi="Times New Roman" w:cs="Times New Roman"/>
              </w:rPr>
              <w:t xml:space="preserve"> академическому. Особое внимание уделено полномасштабному внедрению систем управления образовательным процессом, что быстро устраняет пробелы в </w:t>
            </w:r>
            <w:proofErr w:type="spellStart"/>
            <w:proofErr w:type="gramStart"/>
            <w:r w:rsidRPr="00D03CC9">
              <w:rPr>
                <w:rFonts w:ascii="Times New Roman" w:hAnsi="Times New Roman" w:cs="Times New Roman"/>
              </w:rPr>
              <w:t>бизнес-навыках</w:t>
            </w:r>
            <w:proofErr w:type="spellEnd"/>
            <w:proofErr w:type="gramEnd"/>
            <w:r w:rsidRPr="00D03CC9">
              <w:rPr>
                <w:rFonts w:ascii="Times New Roman" w:hAnsi="Times New Roman" w:cs="Times New Roman"/>
              </w:rPr>
              <w:t xml:space="preserve"> и в знаниях в области информационно-коммуникационных технологий. Синтез образовательной среды и электронной окружающей среды создает педагогический потенциал и способствует продуктивному диалогу между преподавателем и </w:t>
            </w:r>
            <w:proofErr w:type="spellStart"/>
            <w:r w:rsidRPr="00D03CC9">
              <w:rPr>
                <w:rFonts w:ascii="Times New Roman" w:hAnsi="Times New Roman" w:cs="Times New Roman"/>
              </w:rPr>
              <w:t>онлайн-студентами</w:t>
            </w:r>
            <w:proofErr w:type="spellEnd"/>
            <w:r w:rsidRPr="00D03CC9">
              <w:rPr>
                <w:rFonts w:ascii="Times New Roman" w:hAnsi="Times New Roman" w:cs="Times New Roman"/>
              </w:rPr>
              <w:t>.</w:t>
            </w:r>
          </w:p>
        </w:tc>
      </w:tr>
    </w:tbl>
    <w:p w:rsidR="00F71265" w:rsidRDefault="00F71265"/>
    <w:sectPr w:rsidR="00F71265" w:rsidSect="00F7126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4D3" w:rsidRDefault="009F54D3" w:rsidP="00D03CC9">
      <w:pPr>
        <w:spacing w:after="0" w:line="240" w:lineRule="auto"/>
      </w:pPr>
      <w:r>
        <w:separator/>
      </w:r>
    </w:p>
  </w:endnote>
  <w:endnote w:type="continuationSeparator" w:id="0">
    <w:p w:rsidR="009F54D3" w:rsidRDefault="009F54D3" w:rsidP="00D03C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4D3" w:rsidRDefault="009F54D3" w:rsidP="00D03CC9">
      <w:pPr>
        <w:spacing w:after="0" w:line="240" w:lineRule="auto"/>
      </w:pPr>
      <w:r>
        <w:separator/>
      </w:r>
    </w:p>
  </w:footnote>
  <w:footnote w:type="continuationSeparator" w:id="0">
    <w:p w:rsidR="009F54D3" w:rsidRDefault="009F54D3" w:rsidP="00D03C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87186"/>
    <w:multiLevelType w:val="multilevel"/>
    <w:tmpl w:val="D91E113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57777D1"/>
    <w:multiLevelType w:val="multilevel"/>
    <w:tmpl w:val="CCE635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EA7E4A"/>
    <w:multiLevelType w:val="multilevel"/>
    <w:tmpl w:val="4AE81A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B263991"/>
    <w:multiLevelType w:val="multilevel"/>
    <w:tmpl w:val="78A00E0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1543875"/>
    <w:multiLevelType w:val="multilevel"/>
    <w:tmpl w:val="3AF647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4383BD9"/>
    <w:multiLevelType w:val="multilevel"/>
    <w:tmpl w:val="4C9ED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7A9242F"/>
    <w:multiLevelType w:val="multilevel"/>
    <w:tmpl w:val="BF080E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F370077"/>
    <w:multiLevelType w:val="hybridMultilevel"/>
    <w:tmpl w:val="8EAA8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E25FAB"/>
    <w:multiLevelType w:val="multilevel"/>
    <w:tmpl w:val="B66009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8"/>
    <w:lvlOverride w:ilvl="0">
      <w:lvl w:ilvl="0">
        <w:numFmt w:val="decimal"/>
        <w:lvlText w:val="%1."/>
        <w:lvlJc w:val="left"/>
      </w:lvl>
    </w:lvlOverride>
  </w:num>
  <w:num w:numId="3">
    <w:abstractNumId w:val="6"/>
    <w:lvlOverride w:ilvl="0">
      <w:lvl w:ilvl="0">
        <w:numFmt w:val="decimal"/>
        <w:lvlText w:val="%1."/>
        <w:lvlJc w:val="left"/>
      </w:lvl>
    </w:lvlOverride>
  </w:num>
  <w:num w:numId="4">
    <w:abstractNumId w:val="1"/>
    <w:lvlOverride w:ilvl="0">
      <w:lvl w:ilvl="0">
        <w:numFmt w:val="decimal"/>
        <w:lvlText w:val="%1."/>
        <w:lvlJc w:val="left"/>
      </w:lvl>
    </w:lvlOverride>
  </w:num>
  <w:num w:numId="5">
    <w:abstractNumId w:val="4"/>
    <w:lvlOverride w:ilvl="0">
      <w:lvl w:ilvl="0">
        <w:numFmt w:val="decimal"/>
        <w:lvlText w:val="%1."/>
        <w:lvlJc w:val="left"/>
      </w:lvl>
    </w:lvlOverride>
  </w:num>
  <w:num w:numId="6">
    <w:abstractNumId w:val="2"/>
    <w:lvlOverride w:ilvl="0">
      <w:lvl w:ilvl="0">
        <w:numFmt w:val="decimal"/>
        <w:lvlText w:val="%1."/>
        <w:lvlJc w:val="left"/>
      </w:lvl>
    </w:lvlOverride>
  </w:num>
  <w:num w:numId="7">
    <w:abstractNumId w:val="0"/>
    <w:lvlOverride w:ilvl="0">
      <w:lvl w:ilvl="0">
        <w:numFmt w:val="decimal"/>
        <w:lvlText w:val="%1."/>
        <w:lvlJc w:val="left"/>
      </w:lvl>
    </w:lvlOverride>
  </w:num>
  <w:num w:numId="8">
    <w:abstractNumId w:val="3"/>
    <w:lvlOverride w:ilvl="0">
      <w:lvl w:ilvl="0">
        <w:numFmt w:val="decimal"/>
        <w:lvlText w:val="%1."/>
        <w:lvlJc w:val="left"/>
      </w:lvl>
    </w:lvlOverride>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177DA"/>
    <w:rsid w:val="000177DA"/>
    <w:rsid w:val="00067BE8"/>
    <w:rsid w:val="000E0991"/>
    <w:rsid w:val="00121699"/>
    <w:rsid w:val="00191E82"/>
    <w:rsid w:val="002D7936"/>
    <w:rsid w:val="002F33A8"/>
    <w:rsid w:val="00434AA1"/>
    <w:rsid w:val="0043565E"/>
    <w:rsid w:val="00491A63"/>
    <w:rsid w:val="005124AB"/>
    <w:rsid w:val="005B40CD"/>
    <w:rsid w:val="0060006E"/>
    <w:rsid w:val="007021DB"/>
    <w:rsid w:val="00750E68"/>
    <w:rsid w:val="00767C2D"/>
    <w:rsid w:val="007933A2"/>
    <w:rsid w:val="007A385B"/>
    <w:rsid w:val="00814B59"/>
    <w:rsid w:val="008D5F94"/>
    <w:rsid w:val="009D169C"/>
    <w:rsid w:val="009E47D0"/>
    <w:rsid w:val="009F54D3"/>
    <w:rsid w:val="00B32784"/>
    <w:rsid w:val="00C118C3"/>
    <w:rsid w:val="00C33AFE"/>
    <w:rsid w:val="00D03CC9"/>
    <w:rsid w:val="00DB5CB8"/>
    <w:rsid w:val="00EC2838"/>
    <w:rsid w:val="00ED5E44"/>
    <w:rsid w:val="00F470AD"/>
    <w:rsid w:val="00F712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265"/>
  </w:style>
  <w:style w:type="paragraph" w:styleId="1">
    <w:name w:val="heading 1"/>
    <w:basedOn w:val="a"/>
    <w:next w:val="a"/>
    <w:link w:val="10"/>
    <w:uiPriority w:val="9"/>
    <w:qFormat/>
    <w:rsid w:val="004356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9E47D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177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177DA"/>
    <w:pPr>
      <w:ind w:left="720"/>
      <w:contextualSpacing/>
    </w:pPr>
  </w:style>
  <w:style w:type="paragraph" w:styleId="a5">
    <w:name w:val="No Spacing"/>
    <w:uiPriority w:val="1"/>
    <w:qFormat/>
    <w:rsid w:val="0043565E"/>
    <w:pPr>
      <w:spacing w:after="0" w:line="240" w:lineRule="auto"/>
    </w:pPr>
  </w:style>
  <w:style w:type="character" w:customStyle="1" w:styleId="10">
    <w:name w:val="Заголовок 1 Знак"/>
    <w:basedOn w:val="a0"/>
    <w:link w:val="1"/>
    <w:uiPriority w:val="9"/>
    <w:rsid w:val="0043565E"/>
    <w:rPr>
      <w:rFonts w:asciiTheme="majorHAnsi" w:eastAsiaTheme="majorEastAsia" w:hAnsiTheme="majorHAnsi" w:cstheme="majorBidi"/>
      <w:b/>
      <w:bCs/>
      <w:color w:val="365F91" w:themeColor="accent1" w:themeShade="BF"/>
      <w:sz w:val="28"/>
      <w:szCs w:val="28"/>
    </w:rPr>
  </w:style>
  <w:style w:type="character" w:styleId="a6">
    <w:name w:val="Hyperlink"/>
    <w:basedOn w:val="a0"/>
    <w:uiPriority w:val="99"/>
    <w:unhideWhenUsed/>
    <w:rsid w:val="00767C2D"/>
    <w:rPr>
      <w:color w:val="0000FF" w:themeColor="hyperlink"/>
      <w:u w:val="single"/>
    </w:rPr>
  </w:style>
  <w:style w:type="character" w:customStyle="1" w:styleId="30">
    <w:name w:val="Заголовок 3 Знак"/>
    <w:basedOn w:val="a0"/>
    <w:link w:val="3"/>
    <w:uiPriority w:val="9"/>
    <w:rsid w:val="009E47D0"/>
    <w:rPr>
      <w:rFonts w:ascii="Times New Roman" w:eastAsia="Times New Roman" w:hAnsi="Times New Roman" w:cs="Times New Roman"/>
      <w:b/>
      <w:bCs/>
      <w:sz w:val="27"/>
      <w:szCs w:val="27"/>
      <w:lang w:eastAsia="ru-RU"/>
    </w:rPr>
  </w:style>
  <w:style w:type="paragraph" w:customStyle="1" w:styleId="bigtext">
    <w:name w:val="bigtext"/>
    <w:basedOn w:val="a"/>
    <w:rsid w:val="00EC28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lp">
    <w:name w:val="help"/>
    <w:basedOn w:val="a0"/>
    <w:rsid w:val="00C33AFE"/>
  </w:style>
  <w:style w:type="character" w:customStyle="1" w:styleId="astmd">
    <w:name w:val="astmd"/>
    <w:basedOn w:val="a0"/>
    <w:rsid w:val="00C33AFE"/>
  </w:style>
  <w:style w:type="paragraph" w:styleId="a7">
    <w:name w:val="Balloon Text"/>
    <w:basedOn w:val="a"/>
    <w:link w:val="a8"/>
    <w:uiPriority w:val="99"/>
    <w:semiHidden/>
    <w:unhideWhenUsed/>
    <w:rsid w:val="00C33AF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33AFE"/>
    <w:rPr>
      <w:rFonts w:ascii="Tahoma" w:hAnsi="Tahoma" w:cs="Tahoma"/>
      <w:sz w:val="16"/>
      <w:szCs w:val="16"/>
    </w:rPr>
  </w:style>
  <w:style w:type="character" w:styleId="a9">
    <w:name w:val="FollowedHyperlink"/>
    <w:basedOn w:val="a0"/>
    <w:uiPriority w:val="99"/>
    <w:semiHidden/>
    <w:unhideWhenUsed/>
    <w:rsid w:val="00D03CC9"/>
    <w:rPr>
      <w:color w:val="800080" w:themeColor="followedHyperlink"/>
      <w:u w:val="single"/>
    </w:rPr>
  </w:style>
  <w:style w:type="paragraph" w:styleId="aa">
    <w:name w:val="header"/>
    <w:basedOn w:val="a"/>
    <w:link w:val="ab"/>
    <w:uiPriority w:val="99"/>
    <w:semiHidden/>
    <w:unhideWhenUsed/>
    <w:rsid w:val="00D03CC9"/>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D03CC9"/>
  </w:style>
  <w:style w:type="paragraph" w:styleId="ac">
    <w:name w:val="footer"/>
    <w:basedOn w:val="a"/>
    <w:link w:val="ad"/>
    <w:uiPriority w:val="99"/>
    <w:semiHidden/>
    <w:unhideWhenUsed/>
    <w:rsid w:val="00D03CC9"/>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D03CC9"/>
  </w:style>
</w:styles>
</file>

<file path=word/webSettings.xml><?xml version="1.0" encoding="utf-8"?>
<w:webSettings xmlns:r="http://schemas.openxmlformats.org/officeDocument/2006/relationships" xmlns:w="http://schemas.openxmlformats.org/wordprocessingml/2006/main">
  <w:divs>
    <w:div w:id="105347106">
      <w:bodyDiv w:val="1"/>
      <w:marLeft w:val="0"/>
      <w:marRight w:val="0"/>
      <w:marTop w:val="0"/>
      <w:marBottom w:val="0"/>
      <w:divBdr>
        <w:top w:val="none" w:sz="0" w:space="0" w:color="auto"/>
        <w:left w:val="none" w:sz="0" w:space="0" w:color="auto"/>
        <w:bottom w:val="none" w:sz="0" w:space="0" w:color="auto"/>
        <w:right w:val="none" w:sz="0" w:space="0" w:color="auto"/>
      </w:divBdr>
    </w:div>
    <w:div w:id="146409430">
      <w:bodyDiv w:val="1"/>
      <w:marLeft w:val="0"/>
      <w:marRight w:val="0"/>
      <w:marTop w:val="0"/>
      <w:marBottom w:val="0"/>
      <w:divBdr>
        <w:top w:val="none" w:sz="0" w:space="0" w:color="auto"/>
        <w:left w:val="none" w:sz="0" w:space="0" w:color="auto"/>
        <w:bottom w:val="none" w:sz="0" w:space="0" w:color="auto"/>
        <w:right w:val="none" w:sz="0" w:space="0" w:color="auto"/>
      </w:divBdr>
    </w:div>
    <w:div w:id="182011512">
      <w:bodyDiv w:val="1"/>
      <w:marLeft w:val="0"/>
      <w:marRight w:val="0"/>
      <w:marTop w:val="0"/>
      <w:marBottom w:val="0"/>
      <w:divBdr>
        <w:top w:val="none" w:sz="0" w:space="0" w:color="auto"/>
        <w:left w:val="none" w:sz="0" w:space="0" w:color="auto"/>
        <w:bottom w:val="none" w:sz="0" w:space="0" w:color="auto"/>
        <w:right w:val="none" w:sz="0" w:space="0" w:color="auto"/>
      </w:divBdr>
    </w:div>
    <w:div w:id="537547954">
      <w:bodyDiv w:val="1"/>
      <w:marLeft w:val="0"/>
      <w:marRight w:val="0"/>
      <w:marTop w:val="0"/>
      <w:marBottom w:val="0"/>
      <w:divBdr>
        <w:top w:val="none" w:sz="0" w:space="0" w:color="auto"/>
        <w:left w:val="none" w:sz="0" w:space="0" w:color="auto"/>
        <w:bottom w:val="none" w:sz="0" w:space="0" w:color="auto"/>
        <w:right w:val="none" w:sz="0" w:space="0" w:color="auto"/>
      </w:divBdr>
    </w:div>
    <w:div w:id="712732173">
      <w:bodyDiv w:val="1"/>
      <w:marLeft w:val="0"/>
      <w:marRight w:val="0"/>
      <w:marTop w:val="0"/>
      <w:marBottom w:val="0"/>
      <w:divBdr>
        <w:top w:val="none" w:sz="0" w:space="0" w:color="auto"/>
        <w:left w:val="none" w:sz="0" w:space="0" w:color="auto"/>
        <w:bottom w:val="none" w:sz="0" w:space="0" w:color="auto"/>
        <w:right w:val="none" w:sz="0" w:space="0" w:color="auto"/>
      </w:divBdr>
    </w:div>
    <w:div w:id="796023218">
      <w:bodyDiv w:val="1"/>
      <w:marLeft w:val="0"/>
      <w:marRight w:val="0"/>
      <w:marTop w:val="0"/>
      <w:marBottom w:val="0"/>
      <w:divBdr>
        <w:top w:val="none" w:sz="0" w:space="0" w:color="auto"/>
        <w:left w:val="none" w:sz="0" w:space="0" w:color="auto"/>
        <w:bottom w:val="none" w:sz="0" w:space="0" w:color="auto"/>
        <w:right w:val="none" w:sz="0" w:space="0" w:color="auto"/>
      </w:divBdr>
    </w:div>
    <w:div w:id="798763809">
      <w:bodyDiv w:val="1"/>
      <w:marLeft w:val="0"/>
      <w:marRight w:val="0"/>
      <w:marTop w:val="0"/>
      <w:marBottom w:val="0"/>
      <w:divBdr>
        <w:top w:val="none" w:sz="0" w:space="0" w:color="auto"/>
        <w:left w:val="none" w:sz="0" w:space="0" w:color="auto"/>
        <w:bottom w:val="none" w:sz="0" w:space="0" w:color="auto"/>
        <w:right w:val="none" w:sz="0" w:space="0" w:color="auto"/>
      </w:divBdr>
    </w:div>
    <w:div w:id="1158493069">
      <w:bodyDiv w:val="1"/>
      <w:marLeft w:val="0"/>
      <w:marRight w:val="0"/>
      <w:marTop w:val="0"/>
      <w:marBottom w:val="0"/>
      <w:divBdr>
        <w:top w:val="none" w:sz="0" w:space="0" w:color="auto"/>
        <w:left w:val="none" w:sz="0" w:space="0" w:color="auto"/>
        <w:bottom w:val="none" w:sz="0" w:space="0" w:color="auto"/>
        <w:right w:val="none" w:sz="0" w:space="0" w:color="auto"/>
      </w:divBdr>
      <w:divsChild>
        <w:div w:id="1354578702">
          <w:marLeft w:val="0"/>
          <w:marRight w:val="0"/>
          <w:marTop w:val="0"/>
          <w:marBottom w:val="0"/>
          <w:divBdr>
            <w:top w:val="none" w:sz="0" w:space="0" w:color="auto"/>
            <w:left w:val="none" w:sz="0" w:space="0" w:color="auto"/>
            <w:bottom w:val="none" w:sz="0" w:space="0" w:color="auto"/>
            <w:right w:val="none" w:sz="0" w:space="0" w:color="auto"/>
          </w:divBdr>
        </w:div>
        <w:div w:id="550457605">
          <w:marLeft w:val="0"/>
          <w:marRight w:val="0"/>
          <w:marTop w:val="0"/>
          <w:marBottom w:val="0"/>
          <w:divBdr>
            <w:top w:val="none" w:sz="0" w:space="0" w:color="auto"/>
            <w:left w:val="none" w:sz="0" w:space="0" w:color="auto"/>
            <w:bottom w:val="none" w:sz="0" w:space="0" w:color="auto"/>
            <w:right w:val="none" w:sz="0" w:space="0" w:color="auto"/>
          </w:divBdr>
        </w:div>
      </w:divsChild>
    </w:div>
    <w:div w:id="1278564124">
      <w:bodyDiv w:val="1"/>
      <w:marLeft w:val="0"/>
      <w:marRight w:val="0"/>
      <w:marTop w:val="0"/>
      <w:marBottom w:val="0"/>
      <w:divBdr>
        <w:top w:val="none" w:sz="0" w:space="0" w:color="auto"/>
        <w:left w:val="none" w:sz="0" w:space="0" w:color="auto"/>
        <w:bottom w:val="none" w:sz="0" w:space="0" w:color="auto"/>
        <w:right w:val="none" w:sz="0" w:space="0" w:color="auto"/>
      </w:divBdr>
      <w:divsChild>
        <w:div w:id="1012222252">
          <w:marLeft w:val="0"/>
          <w:marRight w:val="0"/>
          <w:marTop w:val="0"/>
          <w:marBottom w:val="0"/>
          <w:divBdr>
            <w:top w:val="none" w:sz="0" w:space="0" w:color="auto"/>
            <w:left w:val="none" w:sz="0" w:space="0" w:color="auto"/>
            <w:bottom w:val="none" w:sz="0" w:space="0" w:color="auto"/>
            <w:right w:val="none" w:sz="0" w:space="0" w:color="auto"/>
          </w:divBdr>
        </w:div>
        <w:div w:id="1198156629">
          <w:marLeft w:val="0"/>
          <w:marRight w:val="0"/>
          <w:marTop w:val="0"/>
          <w:marBottom w:val="0"/>
          <w:divBdr>
            <w:top w:val="none" w:sz="0" w:space="0" w:color="auto"/>
            <w:left w:val="none" w:sz="0" w:space="0" w:color="auto"/>
            <w:bottom w:val="none" w:sz="0" w:space="0" w:color="auto"/>
            <w:right w:val="none" w:sz="0" w:space="0" w:color="auto"/>
          </w:divBdr>
        </w:div>
      </w:divsChild>
    </w:div>
    <w:div w:id="1472753011">
      <w:bodyDiv w:val="1"/>
      <w:marLeft w:val="0"/>
      <w:marRight w:val="0"/>
      <w:marTop w:val="0"/>
      <w:marBottom w:val="0"/>
      <w:divBdr>
        <w:top w:val="none" w:sz="0" w:space="0" w:color="auto"/>
        <w:left w:val="none" w:sz="0" w:space="0" w:color="auto"/>
        <w:bottom w:val="none" w:sz="0" w:space="0" w:color="auto"/>
        <w:right w:val="none" w:sz="0" w:space="0" w:color="auto"/>
      </w:divBdr>
    </w:div>
    <w:div w:id="214292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library.ru/item.asp?id=3529964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library.ru/item.asp?id=4458905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ibrary.ru/item.asp?id=42930172" TargetMode="External"/><Relationship Id="rId5" Type="http://schemas.openxmlformats.org/officeDocument/2006/relationships/footnotes" Target="footnotes.xml"/><Relationship Id="rId10" Type="http://schemas.openxmlformats.org/officeDocument/2006/relationships/hyperlink" Target="https://elibrary.ru/item.asp?id=42834557" TargetMode="External"/><Relationship Id="rId4" Type="http://schemas.openxmlformats.org/officeDocument/2006/relationships/webSettings" Target="webSettings.xml"/><Relationship Id="rId9" Type="http://schemas.openxmlformats.org/officeDocument/2006/relationships/hyperlink" Target="https://elibrary.ru/item.asp?id=437666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1075</Words>
  <Characters>6130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2022-12-28T20:51:00Z</dcterms:created>
  <dcterms:modified xsi:type="dcterms:W3CDTF">2022-12-28T20:51:00Z</dcterms:modified>
</cp:coreProperties>
</file>