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D92024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D92024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F4E5E1A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306DE8E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CDB4770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ИНСТИТУТ ИНФОРМАЦИОННЫХ ТЕХНОЛОГИЙ И </w:t>
      </w: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14:paraId="5D3D408D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B95ADB2" w14:textId="77777777" w:rsidR="000B255C" w:rsidRPr="00D92024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64B86F4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119E366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9357733" w14:textId="05290806" w:rsidR="000B255C" w:rsidRPr="00D92024" w:rsidRDefault="00B277A2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9A8BF4D" w14:textId="77777777" w:rsidR="000B255C" w:rsidRPr="00D92024" w:rsidRDefault="000B255C" w:rsidP="000B255C">
      <w:pPr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32AD3BF" w14:textId="77777777" w:rsidR="000B255C" w:rsidRPr="00D92024" w:rsidRDefault="000B255C" w:rsidP="000B255C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D09EF5F" w14:textId="0BC740A3" w:rsidR="000B255C" w:rsidRPr="00D92024" w:rsidRDefault="00612EB4" w:rsidP="000B255C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Вариативная </w:t>
      </w:r>
      <w:r w:rsidR="00B277A2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Самостоятельная Работа</w:t>
      </w:r>
      <w:r w:rsidR="00BE3A63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</w:t>
      </w:r>
      <w:r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2.</w:t>
      </w:r>
      <w:r w:rsidR="00D92024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2</w:t>
      </w:r>
      <w:r w:rsidR="00237F69" w:rsidRPr="00D9202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.1</w:t>
      </w:r>
    </w:p>
    <w:p w14:paraId="3130F710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E8A7E0C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62A0514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5947311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1070330" w14:textId="77777777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3E82FBB3" w14:textId="6C7BEBEB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D92024" w:rsidRDefault="000B255C" w:rsidP="000B255C">
      <w:pPr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Группа: </w:t>
      </w:r>
      <w:r w:rsidR="006E56DB"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ом_КЭО/24</w:t>
      </w:r>
    </w:p>
    <w:p w14:paraId="7C5FFBB2" w14:textId="02A7318B" w:rsidR="000B255C" w:rsidRPr="00D92024" w:rsidRDefault="000B255C" w:rsidP="000B255C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</w:r>
    </w:p>
    <w:p w14:paraId="0947E935" w14:textId="77777777" w:rsidR="000B255C" w:rsidRPr="00D92024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Санкт-Петербург</w:t>
      </w:r>
      <w:r w:rsidRPr="00D9202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2025</w:t>
      </w:r>
    </w:p>
    <w:p w14:paraId="26CA4E61" w14:textId="3394E28A" w:rsidR="000B255C" w:rsidRPr="00D92024" w:rsidRDefault="001E6C5D" w:rsidP="000B255C">
      <w:pPr>
        <w:spacing w:after="16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E6C5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Терминологический словарь по теме «Персонализированные дидактические материалы для адаптивного электронного обучения в корпоративном секторе»</w:t>
      </w:r>
      <w:r w:rsidR="00FD64EE" w:rsidRPr="00FD64E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5EA9165A" w14:textId="576A15BD" w:rsidR="00D70453" w:rsidRPr="00D92024" w:rsidRDefault="00C72ACE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ru-RU"/>
        </w:rPr>
        <w:pict w14:anchorId="464E8ACB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7310AE9B" w14:textId="07FF3694" w:rsidR="00BE3A63" w:rsidRDefault="001E6C5D" w:rsidP="001E6C5D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1E6C5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процессе научного исследования, ориентированного на разработку и внедрение персонализированных дидактических материалов в адаптивных системах электронного обучения для корпоративной среды, ключевую роль играет точное понимание терминологии, которая объединяет педагогические, технологические и управленческие аспекты. Этот словарь, составленный на основе анализа современных источников, охватывает основные понятия, отражающие динамику цифровизации образования в бизнес-контексте, где инновации, такие как искусственный интеллект и аналитика данных, трансформируют подходы к подготовке кадров, способствуя повышению эффективности и адаптивности программ. Определения адаптированы для акцента на корпоративном применении, подчеркивая их вклад в решение задач по персонализации обучения и оптимизации ресурсов компаний.</w:t>
      </w:r>
    </w:p>
    <w:tbl>
      <w:tblPr>
        <w:tblW w:w="94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0"/>
        <w:gridCol w:w="6445"/>
      </w:tblGrid>
      <w:tr w:rsidR="001E6C5D" w:rsidRPr="001E6C5D" w14:paraId="538FE9C8" w14:textId="77777777" w:rsidTr="001E6C5D">
        <w:trPr>
          <w:trHeight w:val="289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ECE2B05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Термин</w:t>
            </w:r>
          </w:p>
        </w:tc>
        <w:tc>
          <w:tcPr>
            <w:tcW w:w="0" w:type="auto"/>
            <w:vAlign w:val="center"/>
            <w:hideMark/>
          </w:tcPr>
          <w:p w14:paraId="46555AF9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Определение</w:t>
            </w:r>
          </w:p>
        </w:tc>
      </w:tr>
      <w:tr w:rsidR="001E6C5D" w:rsidRPr="001E6C5D" w14:paraId="50644D95" w14:textId="77777777" w:rsidTr="001E6C5D">
        <w:trPr>
          <w:trHeight w:val="2208"/>
          <w:tblCellSpacing w:w="15" w:type="dxa"/>
        </w:trPr>
        <w:tc>
          <w:tcPr>
            <w:tcW w:w="0" w:type="auto"/>
            <w:vAlign w:val="center"/>
            <w:hideMark/>
          </w:tcPr>
          <w:p w14:paraId="53088A00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Адаптивное обучение (Adaptive Learning)</w:t>
            </w:r>
          </w:p>
        </w:tc>
        <w:tc>
          <w:tcPr>
            <w:tcW w:w="0" w:type="auto"/>
            <w:vAlign w:val="center"/>
            <w:hideMark/>
          </w:tcPr>
          <w:p w14:paraId="09A314DE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Интеллектуальная система, которая анализирует производительность обучающегося и корректирует содержание и траектории обучения в реальном времени, продвигая к более сложным материалам при успехе или возвращаясь к базовым при трудностях, что обеспечивает оптимальное развитие в зоне ближайшего развития, особенно полезно в корпоративных программах для индивидуальной подготовки сотрудников.</w:t>
            </w:r>
          </w:p>
        </w:tc>
      </w:tr>
      <w:tr w:rsidR="001E6C5D" w:rsidRPr="001E6C5D" w14:paraId="45F06778" w14:textId="77777777" w:rsidTr="001E6C5D">
        <w:trPr>
          <w:trHeight w:val="1660"/>
          <w:tblCellSpacing w:w="15" w:type="dxa"/>
        </w:trPr>
        <w:tc>
          <w:tcPr>
            <w:tcW w:w="0" w:type="auto"/>
            <w:vAlign w:val="center"/>
            <w:hideMark/>
          </w:tcPr>
          <w:p w14:paraId="33012B2A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Персонализированное обучение (Personalized Learning)</w:t>
            </w:r>
          </w:p>
        </w:tc>
        <w:tc>
          <w:tcPr>
            <w:tcW w:w="0" w:type="auto"/>
            <w:vAlign w:val="center"/>
            <w:hideMark/>
          </w:tcPr>
          <w:p w14:paraId="4EE1C286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Подход к образованию, где контент и методы адаптируются под уникальные нужды, предпочтения и уровень знаний индивидуального обучающегося с использованием данных и алгоритмов, повышая вовлеченность и эффективность в корпоративной среде за счет фокуса на личных траекториях развития.</w:t>
            </w:r>
          </w:p>
        </w:tc>
      </w:tr>
      <w:tr w:rsidR="001E6C5D" w:rsidRPr="001E6C5D" w14:paraId="38F9CB5C" w14:textId="77777777" w:rsidTr="001E6C5D">
        <w:trPr>
          <w:trHeight w:val="1676"/>
          <w:tblCellSpacing w:w="15" w:type="dxa"/>
        </w:trPr>
        <w:tc>
          <w:tcPr>
            <w:tcW w:w="0" w:type="auto"/>
            <w:vAlign w:val="center"/>
            <w:hideMark/>
          </w:tcPr>
          <w:p w14:paraId="32BE49CD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Электронное обучение (E-Learning)</w:t>
            </w:r>
          </w:p>
        </w:tc>
        <w:tc>
          <w:tcPr>
            <w:tcW w:w="0" w:type="auto"/>
            <w:vAlign w:val="center"/>
            <w:hideMark/>
          </w:tcPr>
          <w:p w14:paraId="492203D5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Структурированная доставка образовательного контента через электронные устройства, такие как компьютеры или смартфоны, включая интерактивные элементы вроде видео и квизов, что делает его универсальным инструментом для корпоративного обучения, доступного в любое время и на любом устройстве.</w:t>
            </w:r>
          </w:p>
        </w:tc>
      </w:tr>
      <w:tr w:rsidR="001E6C5D" w:rsidRPr="001E6C5D" w14:paraId="632FCB12" w14:textId="77777777" w:rsidTr="001E6C5D">
        <w:trPr>
          <w:trHeight w:val="1660"/>
          <w:tblCellSpacing w:w="15" w:type="dxa"/>
        </w:trPr>
        <w:tc>
          <w:tcPr>
            <w:tcW w:w="0" w:type="auto"/>
            <w:vAlign w:val="center"/>
            <w:hideMark/>
          </w:tcPr>
          <w:p w14:paraId="61FB5F1D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Корпоративное обучение (Corporate Training)</w:t>
            </w:r>
          </w:p>
        </w:tc>
        <w:tc>
          <w:tcPr>
            <w:tcW w:w="0" w:type="auto"/>
            <w:vAlign w:val="center"/>
            <w:hideMark/>
          </w:tcPr>
          <w:p w14:paraId="037CBB73" w14:textId="3B7D2853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Организованные программы развития навыков сотрудников, направленные на достижение бизнес-целей, включая compliance</w:t>
            </w:r>
            <w:r>
              <w:rPr>
                <w:rStyle w:val="af2"/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footnoteReference w:id="1"/>
            </w: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 онбординг и повышение квалификации, часто интегрирующие цифровые инструменты для масштабируемости и измерения результатов в организационной среде.</w:t>
            </w:r>
          </w:p>
        </w:tc>
      </w:tr>
      <w:tr w:rsidR="001E6C5D" w:rsidRPr="001E6C5D" w14:paraId="1B0226F7" w14:textId="77777777" w:rsidTr="001E6C5D">
        <w:trPr>
          <w:trHeight w:val="547"/>
          <w:tblCellSpacing w:w="15" w:type="dxa"/>
        </w:trPr>
        <w:tc>
          <w:tcPr>
            <w:tcW w:w="0" w:type="auto"/>
            <w:vAlign w:val="center"/>
            <w:hideMark/>
          </w:tcPr>
          <w:p w14:paraId="3B8E5665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Дидактические материалы (Didactic Materials)</w:t>
            </w:r>
          </w:p>
        </w:tc>
        <w:tc>
          <w:tcPr>
            <w:tcW w:w="0" w:type="auto"/>
            <w:vAlign w:val="center"/>
            <w:hideMark/>
          </w:tcPr>
          <w:p w14:paraId="5E9526E6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Образовательные ресурсы, такие как модули, тексты, видео и интерактивные элементы, предназначенные для передачи </w:t>
            </w: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знаний и навыков, в корпоративном контексте адаптируемые для персонализации и интеграции в адаптивные системы для повышения эффективности обучения.</w:t>
            </w:r>
          </w:p>
        </w:tc>
      </w:tr>
      <w:tr w:rsidR="001E6C5D" w:rsidRPr="001E6C5D" w14:paraId="6F19650D" w14:textId="77777777" w:rsidTr="001E6C5D">
        <w:trPr>
          <w:trHeight w:val="143"/>
          <w:tblCellSpacing w:w="15" w:type="dxa"/>
        </w:trPr>
        <w:tc>
          <w:tcPr>
            <w:tcW w:w="0" w:type="auto"/>
            <w:vAlign w:val="center"/>
            <w:hideMark/>
          </w:tcPr>
          <w:p w14:paraId="3C9D8A4D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Система управления обучением (LMS)</w:t>
            </w:r>
          </w:p>
        </w:tc>
        <w:tc>
          <w:tcPr>
            <w:tcW w:w="0" w:type="auto"/>
            <w:vAlign w:val="center"/>
            <w:hideMark/>
          </w:tcPr>
          <w:p w14:paraId="02CF8B23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Централизованная платформа для развертывания, отслеживания и управления корпоративными программами обучения, включая назначение курсов, мониторинг прогресса и отчетность, что делает ее основой для электронного обучения в компаниях.</w:t>
            </w:r>
          </w:p>
        </w:tc>
      </w:tr>
      <w:tr w:rsidR="001E6C5D" w:rsidRPr="001E6C5D" w14:paraId="66A29122" w14:textId="77777777" w:rsidTr="001E6C5D">
        <w:trPr>
          <w:trHeight w:val="143"/>
          <w:tblCellSpacing w:w="15" w:type="dxa"/>
        </w:trPr>
        <w:tc>
          <w:tcPr>
            <w:tcW w:w="0" w:type="auto"/>
            <w:vAlign w:val="center"/>
            <w:hideMark/>
          </w:tcPr>
          <w:p w14:paraId="3C468B6D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Микрообучение (Microlearning)</w:t>
            </w:r>
          </w:p>
        </w:tc>
        <w:tc>
          <w:tcPr>
            <w:tcW w:w="0" w:type="auto"/>
            <w:vAlign w:val="center"/>
            <w:hideMark/>
          </w:tcPr>
          <w:p w14:paraId="795FADFC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 доставки информации в коротких, легкоусвояемых порциях (3–10 минут), ориентированных на конкретные цели, идеальный для корпоративных сотрудников с плотным графиком, позволяющий интегрировать обучение в повседневную работу без перегрузки.</w:t>
            </w:r>
          </w:p>
        </w:tc>
      </w:tr>
      <w:tr w:rsidR="001E6C5D" w:rsidRPr="001E6C5D" w14:paraId="14DBBBED" w14:textId="77777777" w:rsidTr="001E6C5D">
        <w:trPr>
          <w:trHeight w:val="143"/>
          <w:tblCellSpacing w:w="15" w:type="dxa"/>
        </w:trPr>
        <w:tc>
          <w:tcPr>
            <w:tcW w:w="0" w:type="auto"/>
            <w:vAlign w:val="center"/>
            <w:hideMark/>
          </w:tcPr>
          <w:p w14:paraId="05A6B779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Геймификация (Gamification)</w:t>
            </w:r>
          </w:p>
        </w:tc>
        <w:tc>
          <w:tcPr>
            <w:tcW w:w="0" w:type="auto"/>
            <w:vAlign w:val="center"/>
            <w:hideMark/>
          </w:tcPr>
          <w:p w14:paraId="67D94292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Применение игровых элементов, таких как баллы, бейджи и лидерборды, для повышения мотивации в обучении, превращая рутинные задачи в увлекательные квесты, что особенно эффективно в корпоративных программах для роста вовлеченности.</w:t>
            </w:r>
          </w:p>
        </w:tc>
      </w:tr>
      <w:tr w:rsidR="001E6C5D" w:rsidRPr="001E6C5D" w14:paraId="3B3FFF0E" w14:textId="77777777" w:rsidTr="001E6C5D">
        <w:trPr>
          <w:trHeight w:val="143"/>
          <w:tblCellSpacing w:w="15" w:type="dxa"/>
        </w:trPr>
        <w:tc>
          <w:tcPr>
            <w:tcW w:w="0" w:type="auto"/>
            <w:vAlign w:val="center"/>
            <w:hideMark/>
          </w:tcPr>
          <w:p w14:paraId="4CC52141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Искусственный интеллект в образовании (AI in Education)</w:t>
            </w:r>
          </w:p>
        </w:tc>
        <w:tc>
          <w:tcPr>
            <w:tcW w:w="0" w:type="auto"/>
            <w:vAlign w:val="center"/>
            <w:hideMark/>
          </w:tcPr>
          <w:p w14:paraId="41999042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Технологии, имитирующие человеческий интеллект для автоматизации задач в обучении, включая рекомендации контента и виртуальных коучей, что революционизирует корпоративное образование через персонализацию и оптимизацию процессов.</w:t>
            </w:r>
          </w:p>
        </w:tc>
      </w:tr>
      <w:tr w:rsidR="001E6C5D" w:rsidRPr="001E6C5D" w14:paraId="2EC210BD" w14:textId="77777777" w:rsidTr="001E6C5D">
        <w:trPr>
          <w:trHeight w:val="143"/>
          <w:tblCellSpacing w:w="15" w:type="dxa"/>
        </w:trPr>
        <w:tc>
          <w:tcPr>
            <w:tcW w:w="0" w:type="auto"/>
            <w:vAlign w:val="center"/>
            <w:hideMark/>
          </w:tcPr>
          <w:p w14:paraId="21289614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Смешанное обучение (Blended Learning)</w:t>
            </w:r>
          </w:p>
        </w:tc>
        <w:tc>
          <w:tcPr>
            <w:tcW w:w="0" w:type="auto"/>
            <w:vAlign w:val="center"/>
            <w:hideMark/>
          </w:tcPr>
          <w:p w14:paraId="2D123683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Комбинация онлайн- и оффлайн-элементов, где цифровые модули дополняются очными сессиями, обеспечивая гибкость и глубину в корпоративных программах для баланса теории и практики.</w:t>
            </w:r>
          </w:p>
        </w:tc>
      </w:tr>
      <w:tr w:rsidR="001E6C5D" w:rsidRPr="001E6C5D" w14:paraId="02EB533B" w14:textId="77777777" w:rsidTr="001E6C5D">
        <w:trPr>
          <w:trHeight w:val="143"/>
          <w:tblCellSpacing w:w="15" w:type="dxa"/>
        </w:trPr>
        <w:tc>
          <w:tcPr>
            <w:tcW w:w="0" w:type="auto"/>
            <w:vAlign w:val="center"/>
            <w:hideMark/>
          </w:tcPr>
          <w:p w14:paraId="6608F1A2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Обучение на основе компетенций (Competency-Based Learning)</w:t>
            </w:r>
          </w:p>
        </w:tc>
        <w:tc>
          <w:tcPr>
            <w:tcW w:w="0" w:type="auto"/>
            <w:vAlign w:val="center"/>
            <w:hideMark/>
          </w:tcPr>
          <w:p w14:paraId="002ABEEE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Подход, фокусирующийся на освоении конкретных навыков и компетенций, с продвижением по мере достижения результатов, что идеально для корпоративного сектора в оценке и развитии профессиональных качеств сотрудников.</w:t>
            </w:r>
          </w:p>
        </w:tc>
      </w:tr>
      <w:tr w:rsidR="001E6C5D" w:rsidRPr="001E6C5D" w14:paraId="0C574644" w14:textId="77777777" w:rsidTr="001E6C5D">
        <w:trPr>
          <w:trHeight w:val="143"/>
          <w:tblCellSpacing w:w="15" w:type="dxa"/>
        </w:trPr>
        <w:tc>
          <w:tcPr>
            <w:tcW w:w="0" w:type="auto"/>
            <w:vAlign w:val="center"/>
            <w:hideMark/>
          </w:tcPr>
          <w:p w14:paraId="18E4BCB4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Возврат инвестиций в обучение (ROI in Training)</w:t>
            </w:r>
          </w:p>
        </w:tc>
        <w:tc>
          <w:tcPr>
            <w:tcW w:w="0" w:type="auto"/>
            <w:vAlign w:val="center"/>
            <w:hideMark/>
          </w:tcPr>
          <w:p w14:paraId="1A280512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Финансовая оценка выгод от программ обучения, сравнивающая затраты с преимуществами, такими как рост продаж или снижение ошибок, для обоснования эффективности корпоративных инициатив.</w:t>
            </w:r>
          </w:p>
        </w:tc>
      </w:tr>
      <w:tr w:rsidR="001E6C5D" w:rsidRPr="001E6C5D" w14:paraId="1E522FF2" w14:textId="77777777" w:rsidTr="001E6C5D">
        <w:trPr>
          <w:trHeight w:val="143"/>
          <w:tblCellSpacing w:w="15" w:type="dxa"/>
        </w:trPr>
        <w:tc>
          <w:tcPr>
            <w:tcW w:w="0" w:type="auto"/>
            <w:vAlign w:val="center"/>
            <w:hideMark/>
          </w:tcPr>
          <w:p w14:paraId="0B2F5BD0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Повышение квалификации (Upskilling)</w:t>
            </w:r>
          </w:p>
        </w:tc>
        <w:tc>
          <w:tcPr>
            <w:tcW w:w="0" w:type="auto"/>
            <w:vAlign w:val="center"/>
            <w:hideMark/>
          </w:tcPr>
          <w:p w14:paraId="32E1DFC4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Процесс обучения новым навыкам для улучшения текущей роли или подготовки к новым возможностям в компании, критически важный для удержания талантов в конкурентной среде.</w:t>
            </w:r>
          </w:p>
        </w:tc>
      </w:tr>
      <w:tr w:rsidR="001E6C5D" w:rsidRPr="001E6C5D" w14:paraId="591D671B" w14:textId="77777777" w:rsidTr="001E6C5D">
        <w:trPr>
          <w:trHeight w:val="143"/>
          <w:tblCellSpacing w:w="15" w:type="dxa"/>
        </w:trPr>
        <w:tc>
          <w:tcPr>
            <w:tcW w:w="0" w:type="auto"/>
            <w:vAlign w:val="center"/>
            <w:hideMark/>
          </w:tcPr>
          <w:p w14:paraId="5206088E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Переквалификация (Reskilling)</w:t>
            </w:r>
          </w:p>
        </w:tc>
        <w:tc>
          <w:tcPr>
            <w:tcW w:w="0" w:type="auto"/>
            <w:vAlign w:val="center"/>
            <w:hideMark/>
          </w:tcPr>
          <w:p w14:paraId="4C83032B" w14:textId="77777777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Обучение новым навыкам для перехода к иным обязанностям или ролям, помогающее компаниям адаптироваться к изменениям и перераспределять ресурсы.</w:t>
            </w:r>
          </w:p>
        </w:tc>
      </w:tr>
      <w:tr w:rsidR="001E6C5D" w:rsidRPr="001E6C5D" w14:paraId="0469C47B" w14:textId="77777777" w:rsidTr="001E6C5D">
        <w:trPr>
          <w:trHeight w:val="1095"/>
          <w:tblCellSpacing w:w="15" w:type="dxa"/>
        </w:trPr>
        <w:tc>
          <w:tcPr>
            <w:tcW w:w="0" w:type="auto"/>
            <w:vAlign w:val="center"/>
            <w:hideMark/>
          </w:tcPr>
          <w:p w14:paraId="58095285" w14:textId="77777777" w:rsidR="001E6C5D" w:rsidRPr="001E6C5D" w:rsidRDefault="001E6C5D" w:rsidP="001E6C5D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Аналитика обучения (Learning Analytics)</w:t>
            </w:r>
          </w:p>
        </w:tc>
        <w:tc>
          <w:tcPr>
            <w:tcW w:w="0" w:type="auto"/>
            <w:vAlign w:val="center"/>
            <w:hideMark/>
          </w:tcPr>
          <w:p w14:paraId="78AF9EBE" w14:textId="7D70EEDA" w:rsidR="001E6C5D" w:rsidRPr="001E6C5D" w:rsidRDefault="001E6C5D" w:rsidP="001E6C5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Сбор и анализ данных о прогрессе обучения для выявления тенденций, таких как вовлеченность или узкие места, что позволяет оптимизировать корпоративные программы на основе эмпирических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идей</w:t>
            </w:r>
            <w:r w:rsidRPr="001E6C5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</w:tc>
      </w:tr>
    </w:tbl>
    <w:p w14:paraId="6F130A6E" w14:textId="77777777" w:rsidR="001E6C5D" w:rsidRPr="00D92024" w:rsidRDefault="001E6C5D" w:rsidP="001E6C5D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</w:p>
    <w:sectPr w:rsidR="001E6C5D" w:rsidRPr="00D92024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5152A" w14:textId="77777777" w:rsidR="00C72ACE" w:rsidRDefault="00C72ACE" w:rsidP="001E6C5D">
      <w:r>
        <w:separator/>
      </w:r>
    </w:p>
  </w:endnote>
  <w:endnote w:type="continuationSeparator" w:id="0">
    <w:p w14:paraId="5056AB69" w14:textId="77777777" w:rsidR="00C72ACE" w:rsidRDefault="00C72ACE" w:rsidP="001E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D6911" w14:textId="77777777" w:rsidR="00C72ACE" w:rsidRDefault="00C72ACE" w:rsidP="001E6C5D">
      <w:r>
        <w:separator/>
      </w:r>
    </w:p>
  </w:footnote>
  <w:footnote w:type="continuationSeparator" w:id="0">
    <w:p w14:paraId="50A1A9EC" w14:textId="77777777" w:rsidR="00C72ACE" w:rsidRDefault="00C72ACE" w:rsidP="001E6C5D">
      <w:r>
        <w:continuationSeparator/>
      </w:r>
    </w:p>
  </w:footnote>
  <w:footnote w:id="1">
    <w:p w14:paraId="4B80BE96" w14:textId="755CCABF" w:rsidR="001E6C5D" w:rsidRPr="001E6C5D" w:rsidRDefault="001E6C5D">
      <w:pPr>
        <w:pStyle w:val="af0"/>
        <w:rPr>
          <w:rFonts w:ascii="Times New Roman" w:hAnsi="Times New Roman" w:cs="Times New Roman"/>
        </w:rPr>
      </w:pPr>
      <w:r w:rsidRPr="001E6C5D">
        <w:rPr>
          <w:rStyle w:val="af2"/>
          <w:rFonts w:ascii="Times New Roman" w:hAnsi="Times New Roman" w:cs="Times New Roman"/>
        </w:rPr>
        <w:footnoteRef/>
      </w:r>
      <w:r w:rsidRPr="001E6C5D">
        <w:rPr>
          <w:rFonts w:ascii="Times New Roman" w:hAnsi="Times New Roman" w:cs="Times New Roman"/>
        </w:rPr>
        <w:t xml:space="preserve"> </w:t>
      </w:r>
      <w:r w:rsidRPr="001E6C5D">
        <w:rPr>
          <w:rFonts w:ascii="Times New Roman" w:hAnsi="Times New Roman" w:cs="Times New Roman"/>
        </w:rPr>
        <w:t>Комплаенс (от англ. compliance — «соответствие, соблюдение») — система мер и процедур, направленных на предотвращение нарушений и обеспечение соблюдения законодательства и внутренних регламентов компании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4A7EFA"/>
    <w:multiLevelType w:val="multilevel"/>
    <w:tmpl w:val="2B827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A9204C"/>
    <w:multiLevelType w:val="hybridMultilevel"/>
    <w:tmpl w:val="680AA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9547043">
    <w:abstractNumId w:val="13"/>
  </w:num>
  <w:num w:numId="2" w16cid:durableId="293410613">
    <w:abstractNumId w:val="4"/>
  </w:num>
  <w:num w:numId="3" w16cid:durableId="327755981">
    <w:abstractNumId w:val="15"/>
  </w:num>
  <w:num w:numId="4" w16cid:durableId="1949466403">
    <w:abstractNumId w:val="14"/>
  </w:num>
  <w:num w:numId="5" w16cid:durableId="1513951384">
    <w:abstractNumId w:val="8"/>
  </w:num>
  <w:num w:numId="6" w16cid:durableId="822509553">
    <w:abstractNumId w:val="10"/>
  </w:num>
  <w:num w:numId="7" w16cid:durableId="1683165743">
    <w:abstractNumId w:val="0"/>
  </w:num>
  <w:num w:numId="8" w16cid:durableId="1618101040">
    <w:abstractNumId w:val="12"/>
  </w:num>
  <w:num w:numId="9" w16cid:durableId="1066226177">
    <w:abstractNumId w:val="11"/>
  </w:num>
  <w:num w:numId="10" w16cid:durableId="1580140391">
    <w:abstractNumId w:val="7"/>
  </w:num>
  <w:num w:numId="11" w16cid:durableId="883097974">
    <w:abstractNumId w:val="6"/>
  </w:num>
  <w:num w:numId="12" w16cid:durableId="1079716730">
    <w:abstractNumId w:val="2"/>
  </w:num>
  <w:num w:numId="13" w16cid:durableId="130753111">
    <w:abstractNumId w:val="5"/>
  </w:num>
  <w:num w:numId="14" w16cid:durableId="1893038216">
    <w:abstractNumId w:val="1"/>
  </w:num>
  <w:num w:numId="15" w16cid:durableId="1521969340">
    <w:abstractNumId w:val="9"/>
  </w:num>
  <w:num w:numId="16" w16cid:durableId="1169323825">
    <w:abstractNumId w:val="3"/>
  </w:num>
  <w:num w:numId="17" w16cid:durableId="12009748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1E6C5D"/>
    <w:rsid w:val="00237F69"/>
    <w:rsid w:val="00243105"/>
    <w:rsid w:val="002444CF"/>
    <w:rsid w:val="004C1464"/>
    <w:rsid w:val="0053577B"/>
    <w:rsid w:val="005F4926"/>
    <w:rsid w:val="00612EB4"/>
    <w:rsid w:val="006E56DB"/>
    <w:rsid w:val="008D5500"/>
    <w:rsid w:val="008E149A"/>
    <w:rsid w:val="009813BC"/>
    <w:rsid w:val="00A04786"/>
    <w:rsid w:val="00A52DD6"/>
    <w:rsid w:val="00B277A2"/>
    <w:rsid w:val="00BE3A63"/>
    <w:rsid w:val="00C72ACE"/>
    <w:rsid w:val="00D70453"/>
    <w:rsid w:val="00D92024"/>
    <w:rsid w:val="00F77B60"/>
    <w:rsid w:val="00F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  <w:style w:type="character" w:styleId="af">
    <w:name w:val="Hyperlink"/>
    <w:basedOn w:val="a0"/>
    <w:uiPriority w:val="99"/>
    <w:semiHidden/>
    <w:unhideWhenUsed/>
    <w:rsid w:val="00D92024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1E6C5D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E6C5D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1E6C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10</cp:revision>
  <dcterms:created xsi:type="dcterms:W3CDTF">2025-10-03T06:45:00Z</dcterms:created>
  <dcterms:modified xsi:type="dcterms:W3CDTF">2025-12-24T12:25:00Z</dcterms:modified>
</cp:coreProperties>
</file>