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63BF3" w14:textId="77777777" w:rsidR="000B255C" w:rsidRPr="00B277A2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МИНИСТЕРСТВО ПРОСВЕЩЕНИЯ РОССИЙСКОЙ ФЕДЕРАЦИИ</w:t>
      </w:r>
    </w:p>
    <w:p w14:paraId="0376BCB6" w14:textId="77777777" w:rsidR="000B255C" w:rsidRPr="00B277A2" w:rsidRDefault="000B255C" w:rsidP="000B255C">
      <w:pPr>
        <w:spacing w:after="20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7D324703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F4E5E1A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4306DE8E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0CDB4770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ИНСТИТУТ ИНФОРМАЦИОННЫХ ТЕХНОЛОГИЙ И </w:t>
      </w: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br/>
        <w:t>ТЕХНОЛОГИЧЕСКОГО ОБРАЗОВАНИЯ</w:t>
      </w:r>
    </w:p>
    <w:p w14:paraId="53504537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Кафедра информационных технологий и электронного обучения</w:t>
      </w:r>
    </w:p>
    <w:p w14:paraId="497C2B4B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14:paraId="5D3D408D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B95ADB2" w14:textId="77777777" w:rsidR="000B255C" w:rsidRPr="00B277A2" w:rsidRDefault="000B255C" w:rsidP="000B255C">
      <w:pPr>
        <w:spacing w:after="24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Основная профессиональная образовательная программа</w:t>
      </w:r>
    </w:p>
    <w:p w14:paraId="78354A25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Направление подготовки 44.04.01 Педагогическое образование</w:t>
      </w:r>
    </w:p>
    <w:p w14:paraId="2F6A6E65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Направленность (профиль) «Корпоративное электронное обучение» 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>форма обучения – очная</w:t>
      </w:r>
    </w:p>
    <w:p w14:paraId="5BF8F9B8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464B86F4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2119E366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79357733" w14:textId="05290806" w:rsidR="000B255C" w:rsidRPr="00B277A2" w:rsidRDefault="00B277A2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Производственная практика (научно-исследовательская работа)</w:t>
      </w:r>
    </w:p>
    <w:p w14:paraId="30931461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29A8BF4D" w14:textId="77777777" w:rsidR="000B255C" w:rsidRPr="00B277A2" w:rsidRDefault="000B255C" w:rsidP="000B255C">
      <w:pPr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132AD3BF" w14:textId="77777777" w:rsidR="000B255C" w:rsidRPr="00B277A2" w:rsidRDefault="000B255C" w:rsidP="000B255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6D09EF5F" w14:textId="21D3EE62" w:rsidR="000B255C" w:rsidRPr="00B277A2" w:rsidRDefault="00612EB4" w:rsidP="000B255C">
      <w:pPr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Вариативная </w:t>
      </w:r>
      <w:r w:rsidR="00B277A2"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Самостоятельная Работа</w:t>
      </w:r>
      <w:r w:rsidR="00BE3A63" w:rsidRPr="00B277A2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2.1</w:t>
      </w:r>
      <w:r w:rsidR="00237F69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.1</w:t>
      </w:r>
    </w:p>
    <w:p w14:paraId="3130F710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E8A7E0C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762A0514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55947311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11070330" w14:textId="77777777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</w:p>
    <w:p w14:paraId="3E82FBB3" w14:textId="6C7BEBEB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Обучающегося 2 курса</w:t>
      </w:r>
    </w:p>
    <w:p w14:paraId="41FEE888" w14:textId="77777777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Бурякова Ивана Олеговича</w:t>
      </w:r>
    </w:p>
    <w:p w14:paraId="6B2B6F76" w14:textId="2D4BB09A" w:rsidR="000B255C" w:rsidRPr="00B277A2" w:rsidRDefault="000B255C" w:rsidP="000B255C">
      <w:pPr>
        <w:jc w:val="right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Группа: </w:t>
      </w:r>
      <w:r w:rsidR="006E56DB"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2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ом_КЭО/24</w:t>
      </w:r>
    </w:p>
    <w:p w14:paraId="7C5FFBB2" w14:textId="02A7318B" w:rsidR="000B255C" w:rsidRPr="00B277A2" w:rsidRDefault="000B255C" w:rsidP="000B255C">
      <w:pPr>
        <w:spacing w:after="240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</w:r>
    </w:p>
    <w:p w14:paraId="0947E935" w14:textId="77777777" w:rsidR="000B255C" w:rsidRPr="00B277A2" w:rsidRDefault="000B255C" w:rsidP="000B255C">
      <w:pPr>
        <w:spacing w:after="16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Санкт-Петербург</w:t>
      </w:r>
      <w:r w:rsidRPr="00B277A2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br/>
        <w:t>2025</w:t>
      </w:r>
    </w:p>
    <w:p w14:paraId="26CA4E61" w14:textId="399F8A64" w:rsidR="000B255C" w:rsidRPr="00B277A2" w:rsidRDefault="00E31F29" w:rsidP="000B255C">
      <w:pPr>
        <w:spacing w:after="160"/>
        <w:jc w:val="center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E31F29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lastRenderedPageBreak/>
        <w:t>Анализ документа «Прогноз долгосрочного социально-экономического развития Российской Федерации на период до 2030 года</w:t>
      </w:r>
      <w:r w:rsidR="00612EB4" w:rsidRPr="00612EB4">
        <w:rPr>
          <w:rFonts w:ascii="Times New Roman" w:eastAsia="Times New Roman" w:hAnsi="Times New Roman" w:cs="Times New Roman"/>
          <w:b/>
          <w:bCs/>
          <w:color w:val="000000"/>
          <w:kern w:val="0"/>
          <w:sz w:val="28"/>
          <w:szCs w:val="28"/>
          <w:lang w:eastAsia="ru-RU"/>
          <w14:ligatures w14:val="none"/>
        </w:rPr>
        <w:t>»</w:t>
      </w:r>
    </w:p>
    <w:p w14:paraId="5EA9165A" w14:textId="576A15BD" w:rsidR="00D70453" w:rsidRPr="00B277A2" w:rsidRDefault="00B24DFC">
      <w:pP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noProof/>
          <w:color w:val="000000"/>
          <w:kern w:val="0"/>
          <w:lang w:eastAsia="ru-RU"/>
        </w:rPr>
        <w:pict w14:anchorId="74E99FDF">
          <v:rect id="_x0000_i1025" alt="" style="width:467.75pt;height:.05pt;mso-width-percent:0;mso-height-percent:0;mso-width-percent:0;mso-height-percent:0" o:hralign="center" o:hrstd="t" o:hr="t" fillcolor="#a0a0a0" stroked="f"/>
        </w:pict>
      </w:r>
    </w:p>
    <w:p w14:paraId="03CD965E" w14:textId="2E0418EC" w:rsidR="00E31F29" w:rsidRDefault="00E31F29" w:rsidP="00E31F29">
      <w:pPr>
        <w:pStyle w:val="ac"/>
        <w:ind w:firstLine="708"/>
        <w:jc w:val="both"/>
      </w:pPr>
      <w:r>
        <w:t xml:space="preserve">Документ, разработанный Министерством экономического развития Российской Федерации в марте 2013 года, представляет собой комплексный стратегический обзор перспектив социально-экономического прогресса страны, опираясь на анализ предшествующего периода и внешних факторов, таких как глобальные товарные рынки </w:t>
      </w:r>
      <w:r>
        <w:rPr>
          <w:lang w:val="en-US"/>
        </w:rPr>
        <w:br/>
      </w:r>
      <w:r>
        <w:t xml:space="preserve">и технологические сдвиги, чтобы спроектировать траектории развития в условиях неопределенности. Его структура логически выстроена вокруг ретроспективы (итоги 2001–2012 годов с акцентом на кризисы и рост ВВП), внешних условий (мировая экономика, демография, ресурсы) и сценариев, дополненных отраслевыми прогнозами </w:t>
      </w:r>
      <w:r>
        <w:rPr>
          <w:lang w:val="en-US"/>
        </w:rPr>
        <w:br/>
      </w:r>
      <w:r>
        <w:t xml:space="preserve">по человеческому капиталу, инновациям, инфраструктуре и внешней торговле, что делает его фундаментальным ориентиром для государственной политики, включая сферы образования и цифровой трансформации. Центральным элементом выступают </w:t>
      </w:r>
      <w:r>
        <w:rPr>
          <w:lang w:val="en-US"/>
        </w:rPr>
        <w:br/>
      </w:r>
      <w:r>
        <w:t>три сценария – консервативный, инновационный и форсированный, – каждый из которых отражает разную степень мобилизации внутренних ресурсов и реакции на внешние вызовы, подчеркивая переход от сырьевой зависимости к экономике знаний как ключевой императив для устойчивого роста.</w:t>
      </w:r>
    </w:p>
    <w:p w14:paraId="010E4814" w14:textId="3D98FB9C" w:rsidR="00E31F29" w:rsidRDefault="00E31F29" w:rsidP="00E31F29">
      <w:pPr>
        <w:pStyle w:val="ac"/>
        <w:ind w:firstLine="708"/>
        <w:jc w:val="both"/>
      </w:pPr>
      <w:r>
        <w:t xml:space="preserve">Основные цели прогноза заключаются в достижении сбалансированного развития, где ВВП к 2030 году вырастет в 1,7–2,15 раза по сравнению с 2010-м, с удельным показателем на душу населения от 38 до 52 тысяч долларов по паритету покупательной способности, что позволит России сохранить долю в мировой экономике на уровне 3,6–5,3 процентов и войти в группу стран с высоким уровнем дохода. В консервативном сценарии, ориентированном на инерционный рост за счет сырьевых секторов и импорта технологий, среднегодовые темпы ВВП составят 3,0–3,4 процента, с фокусом на диверсификацию экспорта в Азию и модернизацию энергетики, но с рисками уязвимости к ценовым шокам на нефть, которые могут снизить рост на 0,5–2 процента. Инновационный сценарий предполагает ускорение до 4,0–5,0 процентов благодаря инвестициям </w:t>
      </w:r>
      <w:r>
        <w:rPr>
          <w:lang w:val="en-US"/>
        </w:rPr>
        <w:br/>
      </w:r>
      <w:r>
        <w:t xml:space="preserve">в высокотехнологичные производства и человеческий капитал, с прорывами в образовании и науке, обеспечивая устойчивость к глобальным колебаниям и рост производительности труда в 2,3 раза. Форсированный вариант, опирающийся на высокие цены на нефть </w:t>
      </w:r>
      <w:r>
        <w:rPr>
          <w:lang w:val="en-US"/>
        </w:rPr>
        <w:br/>
      </w:r>
      <w:r>
        <w:t xml:space="preserve">(до 226 долларов за баррель) и евразийскую интеграцию, прогнозирует 5,0–6,0 процентов роста, с созданием 26 миллионов высокопроизводительных рабочих мест и лидерством </w:t>
      </w:r>
      <w:r>
        <w:rPr>
          <w:lang w:val="en-US"/>
        </w:rPr>
        <w:br/>
      </w:r>
      <w:r>
        <w:t xml:space="preserve">в нано-, био- и ИТ-технологиях, хотя и с повышенными рисками бюджетного дефицита </w:t>
      </w:r>
      <w:r>
        <w:rPr>
          <w:lang w:val="en-US"/>
        </w:rPr>
        <w:br/>
      </w:r>
      <w:r>
        <w:t>и внешнего долга.</w:t>
      </w:r>
    </w:p>
    <w:p w14:paraId="1BEFD606" w14:textId="3E7B92D8" w:rsidR="00E31F29" w:rsidRDefault="00E31F29" w:rsidP="00E31F29">
      <w:pPr>
        <w:pStyle w:val="ac"/>
        <w:ind w:firstLine="708"/>
        <w:jc w:val="both"/>
      </w:pPr>
      <w:r>
        <w:t xml:space="preserve">Демографические прогнозы подчеркивают вызовы старения населения </w:t>
      </w:r>
      <w:r>
        <w:rPr>
          <w:lang w:val="en-US"/>
        </w:rPr>
        <w:br/>
      </w:r>
      <w:r>
        <w:t xml:space="preserve">и естественной убыли, с стабилизацией численности на уровне 141,8–151,4 миллиона человек за счет миграционного притока в 320–531 тысячу ежегодно, </w:t>
      </w:r>
      <w:r>
        <w:rPr>
          <w:lang w:val="en-US"/>
        </w:rPr>
        <w:br/>
      </w:r>
      <w:r>
        <w:t xml:space="preserve">при этом трудоспособное население сократится на 9 процентов, повышая нагрузку </w:t>
      </w:r>
      <w:r>
        <w:rPr>
          <w:lang w:val="en-US"/>
        </w:rPr>
        <w:br/>
      </w:r>
      <w:r>
        <w:t xml:space="preserve">на систему до 831 нетрудоспособного на тысячу работающих, что требует мер </w:t>
      </w:r>
      <w:r>
        <w:rPr>
          <w:lang w:val="en-US"/>
        </w:rPr>
        <w:br/>
      </w:r>
      <w:r>
        <w:t xml:space="preserve">по повышению рождаемости до 1,96 и продолжительности жизни до 78 лет. В сфере образования акцент делается на модернизации и цифровизации, с расходами </w:t>
      </w:r>
      <w:r>
        <w:rPr>
          <w:lang w:val="en-US"/>
        </w:rPr>
        <w:br/>
      </w:r>
      <w:r>
        <w:t xml:space="preserve">до 8,1 процента ВВП, включая стопроцентный доступ к интернету в школах и развитие электронного обучения, что позволит охватить 55 процентов занятых переподготовкой </w:t>
      </w:r>
      <w:r>
        <w:rPr>
          <w:lang w:val="en-US"/>
        </w:rPr>
        <w:br/>
      </w:r>
      <w:r>
        <w:t xml:space="preserve">к 2020 году и обеспечить 75 процентов дополнительного образования для детей, напрямую способствуя формированию компетенций для цифровой экономики. Наука и технологии видятся как двигатель инноваций, с траекториями конвергенции в ИКТ, наносистемах </w:t>
      </w:r>
      <w:r>
        <w:rPr>
          <w:lang w:val="en-US"/>
        </w:rPr>
        <w:br/>
      </w:r>
      <w:r>
        <w:t xml:space="preserve">и энергетике, где расходы на НИОКР вырастут до 3 процентов ВВП, а коммерциализация </w:t>
      </w:r>
      <w:r>
        <w:lastRenderedPageBreak/>
        <w:t>результатов – до 16 процентов, преодолевая отставание от лидеров вроде США и ЕС через приоритетные проекты, такие как Сколково и мега-научные инициативы.</w:t>
      </w:r>
    </w:p>
    <w:p w14:paraId="5AF264D8" w14:textId="049B0F9F" w:rsidR="00E31F29" w:rsidRDefault="00E31F29" w:rsidP="00E31F29">
      <w:pPr>
        <w:pStyle w:val="ac"/>
        <w:ind w:firstLine="708"/>
        <w:jc w:val="both"/>
      </w:pPr>
      <w:r>
        <w:t xml:space="preserve">Особое внимание в документе уделяется цифровой экономике и корпоративному обучению как элементам инновационного роста, где развитие ИКТ-инфраструктуры (облачные технологии, Big Data) и электронного правительства интегрируется </w:t>
      </w:r>
      <w:r w:rsidRPr="00E31F29">
        <w:br/>
      </w:r>
      <w:r>
        <w:t xml:space="preserve">с программами переподготовки кадров, ориентированными на рынок труда, с целью создания кластеров и университетов мирового уровня, что минимизирует "узкие места" </w:t>
      </w:r>
      <w:r w:rsidRPr="00E31F29">
        <w:br/>
      </w:r>
      <w:r>
        <w:t xml:space="preserve">в инфраструктуре и повышает конкурентоспособность отраслей, </w:t>
      </w:r>
      <w:r>
        <w:rPr>
          <w:lang w:val="en-US"/>
        </w:rPr>
        <w:br/>
      </w:r>
      <w:r>
        <w:t xml:space="preserve">таких как машиностроение и АПК. Вызовы включают зависимость от углеводородов, региональные дисбалансы (концентрация в Центральном федеральном округе) и внешние шоки, такие как падение цен на нефть или глобальные кризисы, что может замедлить рост до 2 процентов в консервативном сценарии. Меры политики охватывают институциональные преобразования, государственно-частное партнерство </w:t>
      </w:r>
      <w:r>
        <w:rPr>
          <w:lang w:val="en-US"/>
        </w:rPr>
        <w:br/>
      </w:r>
      <w:r>
        <w:t>в инфраструктуре (инвестиции до 4 триллионов рублей к 2020 году), диверсификацию экспорта и энергосбережение на 34–50 процентов, с акцентом на интеграцию в Евразийский экономический союз для расширения рынков и привлечения капитала до 6 процентов ВВП.</w:t>
      </w:r>
    </w:p>
    <w:p w14:paraId="7310AE9B" w14:textId="4BB308C6" w:rsidR="00BE3A63" w:rsidRPr="00B277A2" w:rsidRDefault="00E31F29" w:rsidP="00E31F29">
      <w:pPr>
        <w:pStyle w:val="ac"/>
        <w:ind w:firstLine="708"/>
        <w:jc w:val="both"/>
      </w:pPr>
      <w:r>
        <w:t xml:space="preserve">Релевантность документа для исследований в области корпоративного электронного обучения проявляется в его подчеркивании роли непрерывного образования и цифровых технологий как факторов человеческого капитала, где прогнозы по переподготовке кадров и внедрению ИКТ предлагают основу для анализа адаптивных систем в бизнес-среде, подчеркивая необходимость персонализированных программ для преодоления демографических ограничений и достижения инновационного прорыва. В целом, прогноз служит не только диагностикой рисков, но и дорожной картой для устойчивого развития, где баланс между консерватизмом и амбициями определяет траекторию России </w:t>
      </w:r>
      <w:r>
        <w:rPr>
          <w:lang w:val="en-US"/>
        </w:rPr>
        <w:br/>
      </w:r>
      <w:r>
        <w:t>в глобальной экономике.</w:t>
      </w:r>
    </w:p>
    <w:sectPr w:rsidR="00BE3A63" w:rsidRPr="00B277A2" w:rsidSect="000B255C">
      <w:pgSz w:w="11906" w:h="16838"/>
      <w:pgMar w:top="1134" w:right="850" w:bottom="1134" w:left="170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04094"/>
    <w:multiLevelType w:val="multilevel"/>
    <w:tmpl w:val="672A4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B6296"/>
    <w:multiLevelType w:val="multilevel"/>
    <w:tmpl w:val="B7B67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BD2530"/>
    <w:multiLevelType w:val="multilevel"/>
    <w:tmpl w:val="D85E3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D636E4"/>
    <w:multiLevelType w:val="multilevel"/>
    <w:tmpl w:val="14323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E716833"/>
    <w:multiLevelType w:val="multilevel"/>
    <w:tmpl w:val="78FE19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345E84"/>
    <w:multiLevelType w:val="multilevel"/>
    <w:tmpl w:val="820EDE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40222E"/>
    <w:multiLevelType w:val="multilevel"/>
    <w:tmpl w:val="0DE439F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266D1C"/>
    <w:multiLevelType w:val="multilevel"/>
    <w:tmpl w:val="52D886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A246A1"/>
    <w:multiLevelType w:val="multilevel"/>
    <w:tmpl w:val="C0C035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22956C5"/>
    <w:multiLevelType w:val="multilevel"/>
    <w:tmpl w:val="1102F1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7345F3A"/>
    <w:multiLevelType w:val="multilevel"/>
    <w:tmpl w:val="1B4ED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2550D1"/>
    <w:multiLevelType w:val="multilevel"/>
    <w:tmpl w:val="766221C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E9968B9"/>
    <w:multiLevelType w:val="multilevel"/>
    <w:tmpl w:val="AD08B2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05D5E8F"/>
    <w:multiLevelType w:val="multilevel"/>
    <w:tmpl w:val="B0205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AC3147"/>
    <w:multiLevelType w:val="multilevel"/>
    <w:tmpl w:val="6010BF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9547043">
    <w:abstractNumId w:val="12"/>
  </w:num>
  <w:num w:numId="2" w16cid:durableId="293410613">
    <w:abstractNumId w:val="3"/>
  </w:num>
  <w:num w:numId="3" w16cid:durableId="327755981">
    <w:abstractNumId w:val="14"/>
  </w:num>
  <w:num w:numId="4" w16cid:durableId="1949466403">
    <w:abstractNumId w:val="13"/>
  </w:num>
  <w:num w:numId="5" w16cid:durableId="1513951384">
    <w:abstractNumId w:val="7"/>
  </w:num>
  <w:num w:numId="6" w16cid:durableId="822509553">
    <w:abstractNumId w:val="9"/>
  </w:num>
  <w:num w:numId="7" w16cid:durableId="1683165743">
    <w:abstractNumId w:val="0"/>
  </w:num>
  <w:num w:numId="8" w16cid:durableId="1618101040">
    <w:abstractNumId w:val="11"/>
  </w:num>
  <w:num w:numId="9" w16cid:durableId="1066226177">
    <w:abstractNumId w:val="10"/>
  </w:num>
  <w:num w:numId="10" w16cid:durableId="1580140391">
    <w:abstractNumId w:val="6"/>
  </w:num>
  <w:num w:numId="11" w16cid:durableId="883097974">
    <w:abstractNumId w:val="5"/>
  </w:num>
  <w:num w:numId="12" w16cid:durableId="1079716730">
    <w:abstractNumId w:val="2"/>
  </w:num>
  <w:num w:numId="13" w16cid:durableId="130753111">
    <w:abstractNumId w:val="4"/>
  </w:num>
  <w:num w:numId="14" w16cid:durableId="1893038216">
    <w:abstractNumId w:val="1"/>
  </w:num>
  <w:num w:numId="15" w16cid:durableId="152196934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55C"/>
    <w:rsid w:val="00011690"/>
    <w:rsid w:val="000B255C"/>
    <w:rsid w:val="0014006E"/>
    <w:rsid w:val="00237F69"/>
    <w:rsid w:val="00243105"/>
    <w:rsid w:val="002444CF"/>
    <w:rsid w:val="004C1464"/>
    <w:rsid w:val="005F4926"/>
    <w:rsid w:val="00612EB4"/>
    <w:rsid w:val="006E56DB"/>
    <w:rsid w:val="008D5500"/>
    <w:rsid w:val="008E149A"/>
    <w:rsid w:val="00A04786"/>
    <w:rsid w:val="00B24DFC"/>
    <w:rsid w:val="00B277A2"/>
    <w:rsid w:val="00BE3A63"/>
    <w:rsid w:val="00D70453"/>
    <w:rsid w:val="00E31F29"/>
    <w:rsid w:val="00F77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4700C"/>
  <w15:chartTrackingRefBased/>
  <w15:docId w15:val="{E809259A-DC76-694C-8E19-E46F37E6D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25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25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0B25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25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B25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B255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B255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B255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B255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5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B25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0B25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B255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B255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B255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B255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B255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B255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B25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B25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B255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B25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B255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B255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B255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B255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B25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B255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B255C"/>
    <w:rPr>
      <w:b/>
      <w:bCs/>
      <w:smallCaps/>
      <w:color w:val="2F5496" w:themeColor="accent1" w:themeShade="BF"/>
      <w:spacing w:val="5"/>
    </w:rPr>
  </w:style>
  <w:style w:type="paragraph" w:styleId="ac">
    <w:name w:val="Normal (Web)"/>
    <w:basedOn w:val="a"/>
    <w:uiPriority w:val="99"/>
    <w:unhideWhenUsed/>
    <w:rsid w:val="000B255C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  <w:style w:type="character" w:styleId="ad">
    <w:name w:val="Emphasis"/>
    <w:basedOn w:val="a0"/>
    <w:uiPriority w:val="20"/>
    <w:qFormat/>
    <w:rsid w:val="006E56DB"/>
    <w:rPr>
      <w:i/>
      <w:iCs/>
    </w:rPr>
  </w:style>
  <w:style w:type="character" w:styleId="ae">
    <w:name w:val="Strong"/>
    <w:basedOn w:val="a0"/>
    <w:uiPriority w:val="22"/>
    <w:qFormat/>
    <w:rsid w:val="006E56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8</cp:revision>
  <dcterms:created xsi:type="dcterms:W3CDTF">2025-10-03T06:45:00Z</dcterms:created>
  <dcterms:modified xsi:type="dcterms:W3CDTF">2025-12-09T10:26:00Z</dcterms:modified>
</cp:coreProperties>
</file>