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36"/>
          <w:szCs w:val="36"/>
        </w:rPr>
      </w:pPr>
      <w:bookmarkStart w:id="0" w:name="_GoBack"/>
      <w:r w:rsidRPr="00656758">
        <w:rPr>
          <w:rStyle w:val="md-plain"/>
          <w:rFonts w:asciiTheme="minorHAnsi" w:hAnsiTheme="minorHAnsi" w:cstheme="minorHAnsi"/>
          <w:color w:val="333333"/>
          <w:sz w:val="36"/>
          <w:szCs w:val="36"/>
        </w:rPr>
        <w:t>Составить актуальную электронную библиотеку для специалиста в области информатики и вычислительной техники.</w:t>
      </w:r>
    </w:p>
    <w:bookmarkEnd w:id="0"/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1 Операционные системы.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Bodhi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Linux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6.0: установка, настройка, эксплуатация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Орещенков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И. С.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Книга посвящена бесплатной свободно распространяемой операционной системе для персональных компьютеров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Bodhi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Linux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6.0. Классический интерфейс её легковесного графического рабочего окружения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Moksha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Desktop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позволяет организовать единообразную рабочую среду как на современных, так и на устаревших компьютерах или ноутбуках. Благодаря прочному фундаменту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Ubuntu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20.04 LTS, на котором построена эта операционная система, её пользователи получают доступ к широкому спектру программного обеспечения, а также к знаниям и опыту многочисленного сообщества.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4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https://e.lanbook.com/book/276659</w:t>
        </w:r>
      </w:hyperlink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2 Операционные системы, среды и оболочки. практикум Исаева Г. </w:t>
      </w:r>
      <w:proofErr w:type="gram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Н. ,</w:t>
      </w:r>
      <w:proofErr w:type="gram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Сидорова Н. П.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Учебное пособие предназначено для ознакомления с теоретическими и практическими основами работы в двух наиболее популярных в настоящее время линейках операционных систем (ОС): MS Windows и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Linux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.</w:t>
      </w:r>
      <w:r w:rsidRPr="00656758">
        <w:rPr>
          <w:rStyle w:val="md-softbreak"/>
          <w:rFonts w:asciiTheme="minorHAnsi" w:hAnsiTheme="minorHAnsi" w:cstheme="minorHAnsi"/>
          <w:color w:val="333333"/>
          <w:sz w:val="28"/>
          <w:szCs w:val="28"/>
        </w:rPr>
        <w:t xml:space="preserve"> </w:t>
      </w: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Пособие включает восемь практических работ, раскрывающих основные функции ОС по управлению вычислениями и эффективному распределению ресурсов в вычислительной системе (ВС).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5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https://biblioclub.ru/index.php?page=book&amp;id=693549</w:t>
        </w:r>
      </w:hyperlink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3 Архитектура ЭВМ и вычислительные системы Степина В. В.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Рассмотрены информационно-логические основы электронно-вычислительной техники, типовые логические элементы и устройства ЭВМ, структура и функционирование процессора, принципы организации и построения ЭВМ, периферийные устройства ЭВМ, методы и средства сопряжения, основы программирования процессора, вычисления в многопроцессорных и многоядерных системах. Изложены принципы функционирования и вводные основы проектирования цифровой вычислительной техники. Описаны тенденции развития архитектуры и аппаратного обеспечения электронных вычислительных систем, методы повышения производительности многопроцессорных и многоядерных систем, энергосберегающие технологии.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6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https://znanium.com/catalog/document?id=420774</w:t>
        </w:r>
      </w:hyperlink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4 Архитектура ЭВМ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Коладьев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В. </w:t>
      </w:r>
      <w:proofErr w:type="gram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Д. ,</w:t>
      </w:r>
      <w:proofErr w:type="gram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Лупин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С. А.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В учебном пособии рассмотрены информационно-логические принципы организации и построения ЭВМ, работа логических блоков и памяти, периферийные устройства, основы программирования процессора, классификация вычислительных платформ и вычислительные сети. Для студентов, обучающихся по направлению и специальностям программного обеспечения вычислительной техники и автоматизированных систем, прикладной математики и обработки информации. Будет полезно широкому кругу специалистов, занятых в области компьютерного моделирования.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7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https://znanium.com/catalog/document?id=416099</w:t>
        </w:r>
      </w:hyperlink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5 Программирование на SQL </w:t>
      </w:r>
      <w:r w:rsidRPr="00656758">
        <w:rPr>
          <w:rStyle w:val="md-plain"/>
          <w:rFonts w:asciiTheme="minorHAnsi" w:hAnsiTheme="minorHAnsi" w:cstheme="minorHAnsi"/>
          <w:i/>
          <w:iCs/>
          <w:color w:val="333333"/>
          <w:sz w:val="28"/>
          <w:szCs w:val="28"/>
        </w:rPr>
        <w:t>Маркин, А. В.</w:t>
      </w: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В издании подробно рассмотрены основные синтаксические конструкции, применяемые при построении запросов на SQL, а также для программирования хранимых процедур и триггеров. Теоретический материал в полной мере иллюстрирован примерами запросов и скриптов. Разработанные автором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интернет-ресурсы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позволяют проверить полученные теоретические знания с помощью выполнения оригинального лабораторного практикума и прохождения тестирования по всем разделам учебного пособия. Содержание учебного пособия соответствует актуальным требованиям Федерального государственного образовательного стандарта среднего профессионального образования.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8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https://urait.ru/bcode/518166</w:t>
        </w:r>
      </w:hyperlink>
    </w:p>
    <w:p w:rsidR="00656758" w:rsidRPr="00656758" w:rsidRDefault="00656758" w:rsidP="00656758">
      <w:pPr>
        <w:pStyle w:val="md-end-block"/>
        <w:tabs>
          <w:tab w:val="left" w:pos="7365"/>
        </w:tabs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6 Структурное программирование Якимов, С. П.</w:t>
      </w: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ab/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В курсе освещены основные аспекты структурного программирования с примерами на языке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Pascal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. Каждый раздел содержит задания различной сложности для самостоятельного выполнения и контрольные примеры для проверки правильности выполнения. Уделено внимание технологии программирования и стандартам стилевого оформления программного кода. Основой данного курса послужили материалы курсов по программированию, читаемых в Сибирском государственном университете науки и технологии имени академика М. Ф.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Решетнёва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. Простая и доступная для широкого круга читателей форма изложения делает возможным самостоятельное изучение языка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Pascal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и основ структурной методологии программирования. Соответствует актуальным требованиям федерального государственного образовательного стандарта высшего образования.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9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https://urait.ru/bcode/520099</w:t>
        </w:r>
      </w:hyperlink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lastRenderedPageBreak/>
        <w:t>7 Информационные системы и технологии в экономике и управлении в 2 ч. Часть 1 Трофимов В. В.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Учебник представляет собой обобщенный труд в области современных информационных систем и технологий, применяемых в экономике, и включает в себя не только обязательные разделы программы, но и дополнительный материал, который поясняет современное состояние дел в области создания и эксплуатации современных информационных систем и технологий, а также перспектив их развития. В конце каждого раздела приводятся контрольные вопросы и задания, которые помогут студенту проверить свои знания.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10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https://urait.ru/bcode/516285</w:t>
        </w:r>
      </w:hyperlink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8 Информатика и информационные технологии М. В. Гаврилов, В. А. Климов.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В курсе приводятся основные понятия по информатике и информационным технологиям, описаны принципы работы с современными прикладными программными средствами, в Интернете. Особое внимание уделено законодательной и технической защите от несанкционированного доступа, средствам антивирусной защиты. Приводятся подробные пояснения, советы и рекомендации по практической работе с описываемыми средствами и технологиями. Соответствует актуальным требованиям федерального государственного образовательного стандарта высшего образования. 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11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https://urait.ru/bcode/509820</w:t>
        </w:r>
      </w:hyperlink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9 Вычислительная техника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Партыка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Т. </w:t>
      </w:r>
      <w:proofErr w:type="gram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Л. ,</w:t>
      </w:r>
      <w:proofErr w:type="gram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Попов И. И.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Рассматриваются состав, характеристики, функции и структура технических средств обработки, хранения и передачи информации, в том числе виды информации и способы представления ее в ЭВМ; системы счисления, перевод чисел из одной системы счисления в другую; логические основы ЭВМ; элементарные логические функции; персональные компьютеры (процессоры, системы памяти, интерфейсы); накопители информации (магнитные ленты, диски, оптические накопители — CD/DVD, магнитооптические, твердотельные и другие альтернативные технологии); интерактивные устройства (терминалы с мониторами на ЭЛТ и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плоскопанельными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, манипуляторы, сенсорные экраны); мультимедийные системы (цифровое фото, видео, звук, мультимедийные проекторы); средства организации сетей и мобильных вычислений (сети, связь компьютеров, мобильные компьютеры — процессоры и интерфейсы расширения).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12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https://znanium.com/catalog/document?id=380019</w:t>
        </w:r>
      </w:hyperlink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lastRenderedPageBreak/>
        <w:t>10 Компьютерное моделирование систем Боев В. Д.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Имитационное моделирование — один из самых мощных инструментов анализа и синтеза, которыми располагают специалисты, занимающиеся исследованием и проектированием сложных процессов и систем. Каждый современный исследователь должен уметь пользоваться этим методом моделирования. В курсе рассматриваются общие определения моделей и моделирования, раскрываются сущность и основные аспекты имитационного моделирования систем, приемы моделирования случайных величин, событий и процессов, планирования, проведения компьютерных экспериментов, а также наиболее употребительные методы обработки их результатов, имитационное распределенное и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мультиагентное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моделирование. 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13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https://urait.ru/bcode/515122</w:t>
        </w:r>
      </w:hyperlink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11 Компьютерная графика и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web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-дизайн Немцова Т. </w:t>
      </w:r>
      <w:proofErr w:type="gram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И. ,</w:t>
      </w:r>
      <w:proofErr w:type="gram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Казанкова Т. В. ,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Шнякин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А. В. 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Учебное пособие «Компьютерная графика и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web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-дизайн» посвящено работе с компьютерной графикой, включая создание анимации, а также основам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web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-дизайна. Книга знакомит с работой в следующих программах: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Adobe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Photoshop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CS5,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Adobe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Flash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CS5, а также c созданием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web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-страниц с помощью программы Блокнот. Предложен теоретический и практический материал. В теоретической части рассматриваются различные аспекты компьютерного дизайна и современные подходы к созданию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web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-страниц. В практической части описываются основные приемы работы в изучаемой программной среде и задания с подробными инструкциями по выполнению. Дополнительные материалы, иллюстрирующие теоретическую часть учебника, и материалы, необходимые для выполнения практических заданий, представлены в электронно-библиотечной системе Znanium.com. Пособие предназначено для студентов, изучающих дисциплину «Информатика», преподавателей, слушателей курсов повышения квалификации, а также для широкого круга пользователей персональных компьютеров, самостоятельно изучающих программные продукты.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14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https://znanium.com/catalog/document?id=422792</w:t>
        </w:r>
      </w:hyperlink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12 Численные методы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Зенков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, А. В.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Учебное пособие соответствует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односеместровому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лекционному курсу «Численные методы» для студентов ИТ-специальностей. В пособии наряду с теоретическими сведениями и примерами решения задач приводятся индивидуальные задания для лабораторных работ, которые предполагаются к выполнению в пакете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Mathcad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. В результате изучения данного курса </w:t>
      </w: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lastRenderedPageBreak/>
        <w:t xml:space="preserve">студенты должны узнать сравнительные преимущества и недостатки аналитического и численного подходов к решению математических задач, основные ситуации, в которых требуется использование приближенных методов решения типовых математических задач, сильные и слабые стороны различных численных методов, научиться оценивать точность результата, полученного численным методом, выбирать подходящий метод приближенных вычислений. Студенты должны овладеть методами численного решения типовых математических задач и базовыми навыками реализации численных методов в пакете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Mathcad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15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https://urait.ru/bcode/513646</w:t>
        </w:r>
      </w:hyperlink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13 Вычислительная математика для IT-специальностей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Зенков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А. В.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Учебное пособие соответствует 1-семестровому лекционному курсу, читаемому автором для студентов IT-специальностей. Рассмотрены основные источники погрешностей, действия с приближенными числами, интерполяция, численное дифференцирование и интегрирование, численное решение уравнений, систем уравнений и обыкновенных дифференциальных уравнений. Приведены индивидуальные задания для практических занятий и лабораторных работ, которые предполагаются к выполнению в пакете численных и символьных расчетов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Mathcad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. Для студентов прикладного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бакалавриата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по направлениям «Математическое обеспечение и администрирование информационных систем», «Информатика и вычислительная техника», «Фундаментальная информатика и информационные технологии» и «Бизнес-информатика». 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16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https://znanium.com/catalog/document?id=417197</w:t>
        </w:r>
      </w:hyperlink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14 Вычислительная математика. Численные методы интегрирования и решения дифференциальных уравнений и систем Русина Л. Г.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Настоящее пособие служит руководством студентам для самостоятельного выполнения заданий и составлено в соответствии с программами: «Вычислительная математика», «Информатика», «Моделирование систем и процессов», «Информатика и информационные технологии», может быть полезно студентам инженерных специальностей и направлений. Пособие содержит краткий теоретический материал по темам: «Численное интегрирование», «Численное решение дифференциальных уравнений и систем», «Метод сеток решения волнового уравнения», «Решение жестких задач», «Обзор математических программных систем». В пособии даны рекомендации использования программы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Mathcad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(Professional-2000) и приводятся подробные решения задач по данным темам с детальными пояснениями и с алгоритмами решений на языке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Python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17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https://e.lanbook.com/book/195521</w:t>
        </w:r>
      </w:hyperlink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15 Большие данные.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Big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Data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Макшанов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А. В., Журавлев А. Е.,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Тындыкарь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Л. Н.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В учебнике излагается содержание курса по дисциплине «Теория информационных процессов и систем», а также дополнительные материалы по дисциплинам «Системы поддержки принятия решений» и «Технологии интеллектуального анализа данных» по направлению «Информационные системы и технологии», в том числе профиля «Информационные технологии на транспорте» в соответствии с ФГОС 3++. Рассмотрены основные аспекты работы с большими данными, методы и технологии «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Big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Data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» и «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Data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Mining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», а также общие приемы интеллектуального анализа данных. В качестве инструментальной среды разработки используется интегрированный пакет </w:t>
      </w:r>
      <w:proofErr w:type="spellStart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>MatLab</w:t>
      </w:r>
      <w:proofErr w:type="spellEnd"/>
      <w:r w:rsidRPr="00656758">
        <w:rPr>
          <w:rStyle w:val="md-plain"/>
          <w:rFonts w:asciiTheme="minorHAnsi" w:hAnsiTheme="minorHAnsi" w:cstheme="minorHAnsi"/>
          <w:color w:val="333333"/>
          <w:sz w:val="28"/>
          <w:szCs w:val="28"/>
        </w:rPr>
        <w:t xml:space="preserve"> версий 6.5 и выше. Учебник предназначен для формирования у студентов компетенций в соответствии с рабочей программой дисциплины «Теория информационных процессов и систем». Материалы учебника также могут быть использованы студентами, магистрантами и аспирантами других инженерно-технических специальностей, желающими самостоятельно изучить вопросы анализа больших данных.</w:t>
      </w:r>
    </w:p>
    <w:p w:rsidR="00656758" w:rsidRPr="00656758" w:rsidRDefault="00656758" w:rsidP="00656758">
      <w:pPr>
        <w:pStyle w:val="md-end-block"/>
        <w:spacing w:before="192" w:beforeAutospacing="0" w:after="192" w:afterAutospacing="0"/>
        <w:rPr>
          <w:rFonts w:asciiTheme="minorHAnsi" w:hAnsiTheme="minorHAnsi" w:cstheme="minorHAnsi"/>
          <w:color w:val="333333"/>
          <w:sz w:val="28"/>
          <w:szCs w:val="28"/>
        </w:rPr>
      </w:pPr>
      <w:hyperlink r:id="rId18" w:history="1">
        <w:r w:rsidRPr="00656758">
          <w:rPr>
            <w:rStyle w:val="a3"/>
            <w:rFonts w:asciiTheme="minorHAnsi" w:hAnsiTheme="minorHAnsi" w:cstheme="minorHAnsi"/>
            <w:color w:val="4183C4"/>
            <w:sz w:val="28"/>
            <w:szCs w:val="28"/>
          </w:rPr>
          <w:t>https://e.lanbook.com/book/198599</w:t>
        </w:r>
      </w:hyperlink>
    </w:p>
    <w:p w:rsidR="00980955" w:rsidRPr="00656758" w:rsidRDefault="00980955">
      <w:pPr>
        <w:rPr>
          <w:rFonts w:cstheme="minorHAnsi"/>
          <w:sz w:val="28"/>
          <w:szCs w:val="28"/>
        </w:rPr>
      </w:pPr>
    </w:p>
    <w:sectPr w:rsidR="00980955" w:rsidRPr="00656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758"/>
    <w:rsid w:val="00656758"/>
    <w:rsid w:val="0098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52324-85F2-407E-96EA-380C2994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-end-block">
    <w:name w:val="md-end-block"/>
    <w:basedOn w:val="a"/>
    <w:rsid w:val="00656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d-plain">
    <w:name w:val="md-plain"/>
    <w:basedOn w:val="a0"/>
    <w:rsid w:val="00656758"/>
  </w:style>
  <w:style w:type="character" w:customStyle="1" w:styleId="md-link">
    <w:name w:val="md-link"/>
    <w:basedOn w:val="a0"/>
    <w:rsid w:val="00656758"/>
  </w:style>
  <w:style w:type="character" w:styleId="a3">
    <w:name w:val="Hyperlink"/>
    <w:basedOn w:val="a0"/>
    <w:uiPriority w:val="99"/>
    <w:semiHidden/>
    <w:unhideWhenUsed/>
    <w:rsid w:val="00656758"/>
    <w:rPr>
      <w:color w:val="0000FF"/>
      <w:u w:val="single"/>
    </w:rPr>
  </w:style>
  <w:style w:type="character" w:customStyle="1" w:styleId="md-softbreak">
    <w:name w:val="md-softbreak"/>
    <w:basedOn w:val="a0"/>
    <w:rsid w:val="00656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3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8166" TargetMode="External"/><Relationship Id="rId13" Type="http://schemas.openxmlformats.org/officeDocument/2006/relationships/hyperlink" Target="https://urait.ru/bcode/515122" TargetMode="External"/><Relationship Id="rId18" Type="http://schemas.openxmlformats.org/officeDocument/2006/relationships/hyperlink" Target="https://e.lanbook.com/book/19859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nanium.com/catalog/document?id=416099" TargetMode="External"/><Relationship Id="rId12" Type="http://schemas.openxmlformats.org/officeDocument/2006/relationships/hyperlink" Target="https://znanium.com/catalog/document?id=380019" TargetMode="External"/><Relationship Id="rId17" Type="http://schemas.openxmlformats.org/officeDocument/2006/relationships/hyperlink" Target="https://e.lanbook.com/book/1955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nanium.com/catalog/document?id=417197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nanium.com/catalog/document?id=420774" TargetMode="External"/><Relationship Id="rId11" Type="http://schemas.openxmlformats.org/officeDocument/2006/relationships/hyperlink" Target="https://urait.ru/bcode/509820" TargetMode="External"/><Relationship Id="rId5" Type="http://schemas.openxmlformats.org/officeDocument/2006/relationships/hyperlink" Target="https://biblioclub.ru/index.php?page=book&amp;id=693549" TargetMode="External"/><Relationship Id="rId15" Type="http://schemas.openxmlformats.org/officeDocument/2006/relationships/hyperlink" Target="https://urait.ru/bcode/513646" TargetMode="External"/><Relationship Id="rId10" Type="http://schemas.openxmlformats.org/officeDocument/2006/relationships/hyperlink" Target="https://urait.ru/bcode/516285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e.lanbook.com/book/276659" TargetMode="External"/><Relationship Id="rId9" Type="http://schemas.openxmlformats.org/officeDocument/2006/relationships/hyperlink" Target="https://urait.ru/bcode/520099" TargetMode="External"/><Relationship Id="rId14" Type="http://schemas.openxmlformats.org/officeDocument/2006/relationships/hyperlink" Target="https://znanium.com/catalog/document?id=4227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2023-03-06T02:04:00Z</dcterms:created>
  <dcterms:modified xsi:type="dcterms:W3CDTF">2023-03-06T02:05:00Z</dcterms:modified>
</cp:coreProperties>
</file>