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59F" w:rsidRPr="0074059F" w:rsidRDefault="0074059F" w:rsidP="0074059F">
      <w:pPr>
        <w:spacing w:after="0" w:line="360" w:lineRule="auto"/>
        <w:jc w:val="center"/>
        <w:rPr>
          <w:rFonts w:ascii="Times New Roman" w:hAnsi="Times New Roman" w:cs="Times New Roman"/>
          <w:b/>
          <w:sz w:val="28"/>
        </w:rPr>
      </w:pPr>
      <w:r w:rsidRPr="0074059F">
        <w:rPr>
          <w:rFonts w:ascii="Times New Roman" w:hAnsi="Times New Roman" w:cs="Times New Roman"/>
          <w:b/>
          <w:sz w:val="28"/>
        </w:rPr>
        <w:t>Материалы конференций по корпоративному и электронному обучению</w:t>
      </w:r>
    </w:p>
    <w:tbl>
      <w:tblPr>
        <w:tblStyle w:val="a3"/>
        <w:tblW w:w="0" w:type="auto"/>
        <w:tblCellMar>
          <w:top w:w="113" w:type="dxa"/>
          <w:bottom w:w="113" w:type="dxa"/>
        </w:tblCellMar>
        <w:tblLook w:val="04A0" w:firstRow="1" w:lastRow="0" w:firstColumn="1" w:lastColumn="0" w:noHBand="0" w:noVBand="1"/>
      </w:tblPr>
      <w:tblGrid>
        <w:gridCol w:w="988"/>
        <w:gridCol w:w="5953"/>
        <w:gridCol w:w="8447"/>
      </w:tblGrid>
      <w:tr w:rsidR="0074059F" w:rsidRPr="0074059F" w:rsidTr="0074059F">
        <w:tc>
          <w:tcPr>
            <w:tcW w:w="988" w:type="dxa"/>
            <w:vAlign w:val="center"/>
          </w:tcPr>
          <w:p w:rsidR="0074059F" w:rsidRPr="0074059F" w:rsidRDefault="0074059F" w:rsidP="0074059F">
            <w:pPr>
              <w:jc w:val="center"/>
              <w:rPr>
                <w:rFonts w:ascii="Times New Roman" w:hAnsi="Times New Roman" w:cs="Times New Roman"/>
                <w:b/>
                <w:sz w:val="24"/>
              </w:rPr>
            </w:pPr>
            <w:r w:rsidRPr="0074059F">
              <w:rPr>
                <w:rFonts w:ascii="Times New Roman" w:hAnsi="Times New Roman" w:cs="Times New Roman"/>
                <w:b/>
                <w:sz w:val="24"/>
              </w:rPr>
              <w:t>№ п/п</w:t>
            </w:r>
          </w:p>
        </w:tc>
        <w:tc>
          <w:tcPr>
            <w:tcW w:w="5953" w:type="dxa"/>
            <w:vAlign w:val="center"/>
          </w:tcPr>
          <w:p w:rsidR="0074059F" w:rsidRPr="0074059F" w:rsidRDefault="0074059F" w:rsidP="0074059F">
            <w:pPr>
              <w:jc w:val="center"/>
              <w:rPr>
                <w:rFonts w:ascii="Times New Roman" w:hAnsi="Times New Roman" w:cs="Times New Roman"/>
                <w:b/>
                <w:sz w:val="24"/>
              </w:rPr>
            </w:pPr>
            <w:r w:rsidRPr="0074059F">
              <w:rPr>
                <w:rFonts w:ascii="Times New Roman" w:hAnsi="Times New Roman" w:cs="Times New Roman"/>
                <w:b/>
                <w:sz w:val="24"/>
              </w:rPr>
              <w:t>Ссылка</w:t>
            </w:r>
          </w:p>
        </w:tc>
        <w:tc>
          <w:tcPr>
            <w:tcW w:w="8447" w:type="dxa"/>
            <w:vAlign w:val="center"/>
          </w:tcPr>
          <w:p w:rsidR="0074059F" w:rsidRPr="0074059F" w:rsidRDefault="0074059F" w:rsidP="0074059F">
            <w:pPr>
              <w:jc w:val="center"/>
              <w:rPr>
                <w:rFonts w:ascii="Times New Roman" w:hAnsi="Times New Roman" w:cs="Times New Roman"/>
                <w:b/>
                <w:sz w:val="24"/>
              </w:rPr>
            </w:pPr>
            <w:r w:rsidRPr="0074059F">
              <w:rPr>
                <w:rFonts w:ascii="Times New Roman" w:hAnsi="Times New Roman" w:cs="Times New Roman"/>
                <w:b/>
                <w:sz w:val="24"/>
              </w:rPr>
              <w:t>Аннотация</w:t>
            </w:r>
          </w:p>
        </w:tc>
      </w:tr>
      <w:tr w:rsidR="0074059F" w:rsidRPr="0074059F" w:rsidTr="0074059F">
        <w:tc>
          <w:tcPr>
            <w:tcW w:w="988" w:type="dxa"/>
          </w:tcPr>
          <w:p w:rsidR="0074059F" w:rsidRPr="0074059F" w:rsidRDefault="0074059F" w:rsidP="0074059F">
            <w:pPr>
              <w:jc w:val="center"/>
              <w:rPr>
                <w:rFonts w:ascii="Times New Roman" w:hAnsi="Times New Roman" w:cs="Times New Roman"/>
                <w:sz w:val="24"/>
              </w:rPr>
            </w:pPr>
            <w:r w:rsidRPr="0074059F">
              <w:rPr>
                <w:rFonts w:ascii="Times New Roman" w:hAnsi="Times New Roman" w:cs="Times New Roman"/>
                <w:sz w:val="24"/>
              </w:rPr>
              <w:t>1</w:t>
            </w:r>
          </w:p>
        </w:tc>
        <w:tc>
          <w:tcPr>
            <w:tcW w:w="5953" w:type="dxa"/>
          </w:tcPr>
          <w:p w:rsidR="0074059F" w:rsidRPr="0074059F" w:rsidRDefault="0074059F" w:rsidP="0074059F">
            <w:pPr>
              <w:jc w:val="both"/>
              <w:rPr>
                <w:rFonts w:ascii="Times New Roman" w:hAnsi="Times New Roman" w:cs="Times New Roman"/>
                <w:sz w:val="24"/>
              </w:rPr>
            </w:pPr>
            <w:proofErr w:type="spellStart"/>
            <w:r w:rsidRPr="0074059F">
              <w:rPr>
                <w:rFonts w:ascii="Times New Roman" w:hAnsi="Times New Roman" w:cs="Times New Roman"/>
                <w:sz w:val="24"/>
              </w:rPr>
              <w:t>Фиофанова</w:t>
            </w:r>
            <w:proofErr w:type="spellEnd"/>
            <w:r w:rsidRPr="0074059F">
              <w:rPr>
                <w:rFonts w:ascii="Times New Roman" w:hAnsi="Times New Roman" w:cs="Times New Roman"/>
                <w:sz w:val="24"/>
              </w:rPr>
              <w:t xml:space="preserve">, О. А. Управление образованием на основании данных: как меняет </w:t>
            </w:r>
            <w:proofErr w:type="spellStart"/>
            <w:r w:rsidRPr="0074059F">
              <w:rPr>
                <w:rFonts w:ascii="Times New Roman" w:hAnsi="Times New Roman" w:cs="Times New Roman"/>
                <w:sz w:val="24"/>
              </w:rPr>
              <w:t>Big</w:t>
            </w:r>
            <w:proofErr w:type="spellEnd"/>
            <w:r w:rsidRPr="0074059F">
              <w:rPr>
                <w:rFonts w:ascii="Times New Roman" w:hAnsi="Times New Roman" w:cs="Times New Roman"/>
                <w:sz w:val="24"/>
              </w:rPr>
              <w:t xml:space="preserve"> </w:t>
            </w:r>
            <w:proofErr w:type="spellStart"/>
            <w:r w:rsidRPr="0074059F">
              <w:rPr>
                <w:rFonts w:ascii="Times New Roman" w:hAnsi="Times New Roman" w:cs="Times New Roman"/>
                <w:sz w:val="24"/>
              </w:rPr>
              <w:t>data</w:t>
            </w:r>
            <w:proofErr w:type="spellEnd"/>
            <w:r w:rsidRPr="0074059F">
              <w:rPr>
                <w:rFonts w:ascii="Times New Roman" w:hAnsi="Times New Roman" w:cs="Times New Roman"/>
                <w:sz w:val="24"/>
              </w:rPr>
              <w:t xml:space="preserve"> методологию управления / О. А. </w:t>
            </w:r>
            <w:proofErr w:type="spellStart"/>
            <w:r w:rsidRPr="0074059F">
              <w:rPr>
                <w:rFonts w:ascii="Times New Roman" w:hAnsi="Times New Roman" w:cs="Times New Roman"/>
                <w:sz w:val="24"/>
              </w:rPr>
              <w:t>Фиофанова</w:t>
            </w:r>
            <w:proofErr w:type="spellEnd"/>
            <w:r w:rsidRPr="0074059F">
              <w:rPr>
                <w:rFonts w:ascii="Times New Roman" w:hAnsi="Times New Roman" w:cs="Times New Roman"/>
                <w:sz w:val="24"/>
              </w:rPr>
              <w:t xml:space="preserve"> // Менеджмент XXI века: социально-экономическая трансформация в условиях </w:t>
            </w:r>
            <w:proofErr w:type="gramStart"/>
            <w:r w:rsidRPr="0074059F">
              <w:rPr>
                <w:rFonts w:ascii="Times New Roman" w:hAnsi="Times New Roman" w:cs="Times New Roman"/>
                <w:sz w:val="24"/>
              </w:rPr>
              <w:t>неопределенности :</w:t>
            </w:r>
            <w:proofErr w:type="gramEnd"/>
            <w:r w:rsidRPr="0074059F">
              <w:rPr>
                <w:rFonts w:ascii="Times New Roman" w:hAnsi="Times New Roman" w:cs="Times New Roman"/>
                <w:sz w:val="24"/>
              </w:rPr>
              <w:t xml:space="preserve"> Сборник научных статей по материалам XVIII Международной научно-практической конференции, Санкт-Петербург, 25–26 ноября 2020 года. – Санкт-Петербург: Российский государственный педагогический университет им. А. И. Герцена, 2020. – С. 245-252. – EDN ORXHNT.</w:t>
            </w:r>
          </w:p>
        </w:tc>
        <w:tc>
          <w:tcPr>
            <w:tcW w:w="8447" w:type="dxa"/>
          </w:tcPr>
          <w:p w:rsidR="0074059F" w:rsidRPr="0074059F" w:rsidRDefault="0074059F" w:rsidP="0074059F">
            <w:pPr>
              <w:jc w:val="both"/>
              <w:rPr>
                <w:rFonts w:ascii="Times New Roman" w:hAnsi="Times New Roman" w:cs="Times New Roman"/>
                <w:sz w:val="24"/>
              </w:rPr>
            </w:pPr>
            <w:r w:rsidRPr="0074059F">
              <w:rPr>
                <w:rFonts w:ascii="Times New Roman" w:hAnsi="Times New Roman" w:cs="Times New Roman"/>
                <w:sz w:val="24"/>
              </w:rPr>
              <w:t>Анализируется изменение методологии управления образованием в условиях развития технологической инфраструктуры образовательных данных, цифровых сервисов анализа данных, реализации Национальной концепции управления данными. Характеризуются методы анализа образовательных данных, методология доказательного развития образования, доказательной образовательной политики. Рассматриваются методы анализа образовательных данных на основе цифровых следов на электронных образовательных платформах и методы анализа данных об образовании на основе цифровых текстов публичных докладов руководителей, программ развития образовательных организаций и федеральных проектов развития образования.</w:t>
            </w:r>
          </w:p>
        </w:tc>
      </w:tr>
      <w:tr w:rsidR="0074059F" w:rsidRPr="0074059F" w:rsidTr="0074059F">
        <w:tc>
          <w:tcPr>
            <w:tcW w:w="988" w:type="dxa"/>
          </w:tcPr>
          <w:p w:rsidR="0074059F" w:rsidRPr="0074059F" w:rsidRDefault="0074059F" w:rsidP="0074059F">
            <w:pPr>
              <w:jc w:val="center"/>
              <w:rPr>
                <w:rFonts w:ascii="Times New Roman" w:hAnsi="Times New Roman" w:cs="Times New Roman"/>
                <w:sz w:val="24"/>
              </w:rPr>
            </w:pPr>
            <w:r>
              <w:rPr>
                <w:rFonts w:ascii="Times New Roman" w:hAnsi="Times New Roman" w:cs="Times New Roman"/>
                <w:sz w:val="24"/>
              </w:rPr>
              <w:t>2</w:t>
            </w:r>
          </w:p>
        </w:tc>
        <w:tc>
          <w:tcPr>
            <w:tcW w:w="5953" w:type="dxa"/>
          </w:tcPr>
          <w:p w:rsidR="0074059F" w:rsidRPr="0074059F" w:rsidRDefault="0074059F" w:rsidP="0074059F">
            <w:pPr>
              <w:jc w:val="both"/>
              <w:rPr>
                <w:rFonts w:ascii="Times New Roman" w:hAnsi="Times New Roman" w:cs="Times New Roman"/>
                <w:sz w:val="24"/>
              </w:rPr>
            </w:pPr>
            <w:proofErr w:type="spellStart"/>
            <w:r w:rsidRPr="0074059F">
              <w:rPr>
                <w:rFonts w:ascii="Times New Roman" w:hAnsi="Times New Roman" w:cs="Times New Roman"/>
                <w:sz w:val="24"/>
              </w:rPr>
              <w:t>Токтарова</w:t>
            </w:r>
            <w:proofErr w:type="spellEnd"/>
            <w:r w:rsidRPr="0074059F">
              <w:rPr>
                <w:rFonts w:ascii="Times New Roman" w:hAnsi="Times New Roman" w:cs="Times New Roman"/>
                <w:sz w:val="24"/>
              </w:rPr>
              <w:t xml:space="preserve">, В. И. Интеллектуальный анализ образовательных данных студентов для создания персонализированной среды обучения / В. И. </w:t>
            </w:r>
            <w:proofErr w:type="spellStart"/>
            <w:r w:rsidRPr="0074059F">
              <w:rPr>
                <w:rFonts w:ascii="Times New Roman" w:hAnsi="Times New Roman" w:cs="Times New Roman"/>
                <w:sz w:val="24"/>
              </w:rPr>
              <w:t>Токтарова</w:t>
            </w:r>
            <w:proofErr w:type="spellEnd"/>
            <w:r w:rsidRPr="0074059F">
              <w:rPr>
                <w:rFonts w:ascii="Times New Roman" w:hAnsi="Times New Roman" w:cs="Times New Roman"/>
                <w:sz w:val="24"/>
              </w:rPr>
              <w:t xml:space="preserve">, О. Г. Попова // Цифровая </w:t>
            </w:r>
            <w:proofErr w:type="spellStart"/>
            <w:r w:rsidRPr="0074059F">
              <w:rPr>
                <w:rFonts w:ascii="Times New Roman" w:hAnsi="Times New Roman" w:cs="Times New Roman"/>
                <w:sz w:val="24"/>
              </w:rPr>
              <w:t>гуманитаристика</w:t>
            </w:r>
            <w:proofErr w:type="spellEnd"/>
            <w:r w:rsidRPr="0074059F">
              <w:rPr>
                <w:rFonts w:ascii="Times New Roman" w:hAnsi="Times New Roman" w:cs="Times New Roman"/>
                <w:sz w:val="24"/>
              </w:rPr>
              <w:t xml:space="preserve"> и технологии в образовании (DHTE 2021</w:t>
            </w:r>
            <w:proofErr w:type="gramStart"/>
            <w:r w:rsidRPr="0074059F">
              <w:rPr>
                <w:rFonts w:ascii="Times New Roman" w:hAnsi="Times New Roman" w:cs="Times New Roman"/>
                <w:sz w:val="24"/>
              </w:rPr>
              <w:t>) :</w:t>
            </w:r>
            <w:proofErr w:type="gramEnd"/>
            <w:r w:rsidRPr="0074059F">
              <w:rPr>
                <w:rFonts w:ascii="Times New Roman" w:hAnsi="Times New Roman" w:cs="Times New Roman"/>
                <w:sz w:val="24"/>
              </w:rPr>
              <w:t xml:space="preserve"> Сборник статей II Всероссийской научно-практической конференции с международным участием, Москва, 11–12 ноября 2021 года / Под редакцией В.В. Рубцова, М.Г. Сороковой, Н.П. </w:t>
            </w:r>
            <w:proofErr w:type="spellStart"/>
            <w:r w:rsidRPr="0074059F">
              <w:rPr>
                <w:rFonts w:ascii="Times New Roman" w:hAnsi="Times New Roman" w:cs="Times New Roman"/>
                <w:sz w:val="24"/>
              </w:rPr>
              <w:t>Радчиковой</w:t>
            </w:r>
            <w:proofErr w:type="spellEnd"/>
            <w:r w:rsidRPr="0074059F">
              <w:rPr>
                <w:rFonts w:ascii="Times New Roman" w:hAnsi="Times New Roman" w:cs="Times New Roman"/>
                <w:sz w:val="24"/>
              </w:rPr>
              <w:t>. – Москва: Московский государственный психолого-педагогический университет, 2021. – С. 343-352. – EDN BAKNNF.</w:t>
            </w:r>
          </w:p>
        </w:tc>
        <w:tc>
          <w:tcPr>
            <w:tcW w:w="8447" w:type="dxa"/>
          </w:tcPr>
          <w:p w:rsidR="0074059F" w:rsidRPr="0074059F" w:rsidRDefault="0074059F" w:rsidP="0074059F">
            <w:pPr>
              <w:rPr>
                <w:rFonts w:ascii="Times New Roman" w:hAnsi="Times New Roman" w:cs="Times New Roman"/>
                <w:sz w:val="24"/>
              </w:rPr>
            </w:pPr>
            <w:proofErr w:type="spellStart"/>
            <w:r w:rsidRPr="0074059F">
              <w:rPr>
                <w:rFonts w:ascii="Times New Roman" w:hAnsi="Times New Roman" w:cs="Times New Roman"/>
                <w:sz w:val="24"/>
              </w:rPr>
              <w:t>Цифровизация</w:t>
            </w:r>
            <w:proofErr w:type="spellEnd"/>
            <w:r w:rsidRPr="0074059F">
              <w:rPr>
                <w:rFonts w:ascii="Times New Roman" w:hAnsi="Times New Roman" w:cs="Times New Roman"/>
                <w:sz w:val="24"/>
              </w:rPr>
              <w:t xml:space="preserve"> является одним из важнейших направлений развития современной системы образования. Внедрение в образовательный процесс цифровых технологий приводит к появлению большого объема информации, исследованием которой занимается анализ образовательных данных. В статье рассмотрены основные возможности применения интеллектуального анализа образовательных данных в разработке персонализированной среды обучения. Рассмотрены методы анализа данных в сфере образования и описаны типы задач, которые могут быть решены с их помощью. Предложена модель создания персонализированной среды обучения на основе анализа образовательных данных, целью которой является прогнозирование успешности студента в процессе обучения на основе его индивидуальных характеристик</w:t>
            </w:r>
            <w:r>
              <w:rPr>
                <w:rFonts w:ascii="Times New Roman" w:hAnsi="Times New Roman" w:cs="Times New Roman"/>
                <w:sz w:val="24"/>
              </w:rPr>
              <w:t xml:space="preserve"> и образовательных результатов.</w:t>
            </w:r>
          </w:p>
        </w:tc>
      </w:tr>
      <w:tr w:rsidR="0074059F" w:rsidRPr="0074059F" w:rsidTr="0074059F">
        <w:tc>
          <w:tcPr>
            <w:tcW w:w="988" w:type="dxa"/>
          </w:tcPr>
          <w:p w:rsidR="0074059F" w:rsidRPr="0074059F" w:rsidRDefault="0074059F" w:rsidP="0074059F">
            <w:pPr>
              <w:jc w:val="center"/>
              <w:rPr>
                <w:rFonts w:ascii="Times New Roman" w:hAnsi="Times New Roman" w:cs="Times New Roman"/>
                <w:sz w:val="24"/>
              </w:rPr>
            </w:pPr>
            <w:r>
              <w:rPr>
                <w:rFonts w:ascii="Times New Roman" w:hAnsi="Times New Roman" w:cs="Times New Roman"/>
                <w:sz w:val="24"/>
              </w:rPr>
              <w:t>3</w:t>
            </w:r>
          </w:p>
        </w:tc>
        <w:tc>
          <w:tcPr>
            <w:tcW w:w="5953" w:type="dxa"/>
          </w:tcPr>
          <w:p w:rsidR="0074059F" w:rsidRPr="0074059F" w:rsidRDefault="0074059F" w:rsidP="0074059F">
            <w:pPr>
              <w:jc w:val="both"/>
              <w:rPr>
                <w:rFonts w:ascii="Times New Roman" w:hAnsi="Times New Roman" w:cs="Times New Roman"/>
                <w:sz w:val="24"/>
              </w:rPr>
            </w:pPr>
            <w:proofErr w:type="spellStart"/>
            <w:r w:rsidRPr="0074059F">
              <w:rPr>
                <w:rFonts w:ascii="Times New Roman" w:hAnsi="Times New Roman" w:cs="Times New Roman"/>
                <w:sz w:val="24"/>
              </w:rPr>
              <w:t>Колоскова</w:t>
            </w:r>
            <w:proofErr w:type="spellEnd"/>
            <w:r w:rsidRPr="0074059F">
              <w:rPr>
                <w:rFonts w:ascii="Times New Roman" w:hAnsi="Times New Roman" w:cs="Times New Roman"/>
                <w:sz w:val="24"/>
              </w:rPr>
              <w:t xml:space="preserve">, Г. А. Непрерывное повышение квалификации педагогов в условиях цифровой трансформации образования / Г. А. </w:t>
            </w:r>
            <w:proofErr w:type="spellStart"/>
            <w:r w:rsidRPr="0074059F">
              <w:rPr>
                <w:rFonts w:ascii="Times New Roman" w:hAnsi="Times New Roman" w:cs="Times New Roman"/>
                <w:sz w:val="24"/>
              </w:rPr>
              <w:t>Колоскова</w:t>
            </w:r>
            <w:proofErr w:type="spellEnd"/>
            <w:r w:rsidRPr="0074059F">
              <w:rPr>
                <w:rFonts w:ascii="Times New Roman" w:hAnsi="Times New Roman" w:cs="Times New Roman"/>
                <w:sz w:val="24"/>
              </w:rPr>
              <w:t xml:space="preserve"> // Преподавание информационных технологий в Российской </w:t>
            </w:r>
            <w:proofErr w:type="gramStart"/>
            <w:r w:rsidRPr="0074059F">
              <w:rPr>
                <w:rFonts w:ascii="Times New Roman" w:hAnsi="Times New Roman" w:cs="Times New Roman"/>
                <w:sz w:val="24"/>
              </w:rPr>
              <w:t>Федерации :</w:t>
            </w:r>
            <w:proofErr w:type="gramEnd"/>
            <w:r w:rsidRPr="0074059F">
              <w:rPr>
                <w:rFonts w:ascii="Times New Roman" w:hAnsi="Times New Roman" w:cs="Times New Roman"/>
                <w:sz w:val="24"/>
              </w:rPr>
              <w:t xml:space="preserve"> Сборник научных трудов материалов Двадцатой открытой Всероссийской конференции, Москва, 19–20 мая 2022 года. – Москва: Общество с ограниченной ответственностью "1С-Паблишинг", 2022. – С. 61-64. – EDN TCGMTG.</w:t>
            </w:r>
          </w:p>
        </w:tc>
        <w:tc>
          <w:tcPr>
            <w:tcW w:w="8447" w:type="dxa"/>
          </w:tcPr>
          <w:p w:rsidR="0074059F" w:rsidRPr="0074059F" w:rsidRDefault="0074059F" w:rsidP="0074059F">
            <w:pPr>
              <w:jc w:val="both"/>
              <w:rPr>
                <w:rFonts w:ascii="Times New Roman" w:hAnsi="Times New Roman" w:cs="Times New Roman"/>
                <w:sz w:val="24"/>
              </w:rPr>
            </w:pPr>
            <w:r w:rsidRPr="0074059F">
              <w:rPr>
                <w:rFonts w:ascii="Times New Roman" w:hAnsi="Times New Roman" w:cs="Times New Roman"/>
                <w:sz w:val="24"/>
              </w:rPr>
              <w:t xml:space="preserve">Рассматривается вопрос повышения квалификации педагогов в эпоху цифровых технологий и дистанционного обучения. Проведен анализ исследований на данную тему. Подготовлена анкета с вопросами и проведен опрос, по оценке уровня цифровых компетенций педагогов. В процессе анализа выделены и сильные и слабые стороны повышения квалификации педагогов с применением электронного обучения; а также отмечены проблемы дистанционных и электронных образовательных технологий в повышении квалификации педагогических сотрудников; рассмотрены пути дальнейшего развития электронного повышения квалификации педагогов с учетом прогнозируемых </w:t>
            </w:r>
            <w:r w:rsidRPr="0074059F">
              <w:rPr>
                <w:rFonts w:ascii="Times New Roman" w:hAnsi="Times New Roman" w:cs="Times New Roman"/>
                <w:sz w:val="24"/>
              </w:rPr>
              <w:lastRenderedPageBreak/>
              <w:t>изменений в требованиях к системе образования, к дополнительному профессиональному образованию педагогических кадров.</w:t>
            </w:r>
          </w:p>
        </w:tc>
      </w:tr>
      <w:tr w:rsidR="0074059F" w:rsidRPr="0074059F" w:rsidTr="0074059F">
        <w:tc>
          <w:tcPr>
            <w:tcW w:w="988" w:type="dxa"/>
          </w:tcPr>
          <w:p w:rsidR="0074059F" w:rsidRPr="0074059F" w:rsidRDefault="0074059F" w:rsidP="0074059F">
            <w:pPr>
              <w:jc w:val="center"/>
              <w:rPr>
                <w:rFonts w:ascii="Times New Roman" w:hAnsi="Times New Roman" w:cs="Times New Roman"/>
                <w:sz w:val="24"/>
              </w:rPr>
            </w:pPr>
            <w:r>
              <w:rPr>
                <w:rFonts w:ascii="Times New Roman" w:hAnsi="Times New Roman" w:cs="Times New Roman"/>
                <w:sz w:val="24"/>
              </w:rPr>
              <w:lastRenderedPageBreak/>
              <w:t>4</w:t>
            </w:r>
          </w:p>
        </w:tc>
        <w:tc>
          <w:tcPr>
            <w:tcW w:w="5953" w:type="dxa"/>
          </w:tcPr>
          <w:p w:rsidR="0074059F" w:rsidRPr="0074059F" w:rsidRDefault="0074059F" w:rsidP="0074059F">
            <w:pPr>
              <w:jc w:val="both"/>
              <w:rPr>
                <w:rFonts w:ascii="Times New Roman" w:hAnsi="Times New Roman" w:cs="Times New Roman"/>
                <w:sz w:val="24"/>
              </w:rPr>
            </w:pPr>
            <w:r w:rsidRPr="0074059F">
              <w:rPr>
                <w:rFonts w:ascii="Times New Roman" w:hAnsi="Times New Roman" w:cs="Times New Roman"/>
                <w:sz w:val="24"/>
              </w:rPr>
              <w:t xml:space="preserve">Власова, Е. З. Вопросы анализа больших данных в системе образования / Е. З. Власова, Ф. В. Мельников // Актуальные проблемы </w:t>
            </w:r>
            <w:proofErr w:type="spellStart"/>
            <w:r w:rsidRPr="0074059F">
              <w:rPr>
                <w:rFonts w:ascii="Times New Roman" w:hAnsi="Times New Roman" w:cs="Times New Roman"/>
                <w:sz w:val="24"/>
              </w:rPr>
              <w:t>инфотелекоммуникаций</w:t>
            </w:r>
            <w:proofErr w:type="spellEnd"/>
            <w:r w:rsidRPr="0074059F">
              <w:rPr>
                <w:rFonts w:ascii="Times New Roman" w:hAnsi="Times New Roman" w:cs="Times New Roman"/>
                <w:sz w:val="24"/>
              </w:rPr>
              <w:t xml:space="preserve"> в науке и образовании (АПИНО 2023</w:t>
            </w:r>
            <w:proofErr w:type="gramStart"/>
            <w:r w:rsidRPr="0074059F">
              <w:rPr>
                <w:rFonts w:ascii="Times New Roman" w:hAnsi="Times New Roman" w:cs="Times New Roman"/>
                <w:sz w:val="24"/>
              </w:rPr>
              <w:t>) :</w:t>
            </w:r>
            <w:proofErr w:type="gramEnd"/>
            <w:r w:rsidRPr="0074059F">
              <w:rPr>
                <w:rFonts w:ascii="Times New Roman" w:hAnsi="Times New Roman" w:cs="Times New Roman"/>
                <w:sz w:val="24"/>
              </w:rPr>
              <w:t xml:space="preserve"> Сборник научных статей XII Международной научно-технической и научно-методической конференции. В 4-х томах,</w:t>
            </w:r>
            <w:r>
              <w:rPr>
                <w:rFonts w:ascii="Times New Roman" w:hAnsi="Times New Roman" w:cs="Times New Roman"/>
                <w:sz w:val="24"/>
              </w:rPr>
              <w:t xml:space="preserve"> Санкт-Петербург, 28 февраля – </w:t>
            </w:r>
            <w:r w:rsidRPr="0074059F">
              <w:rPr>
                <w:rFonts w:ascii="Times New Roman" w:hAnsi="Times New Roman" w:cs="Times New Roman"/>
                <w:sz w:val="24"/>
              </w:rPr>
              <w:t xml:space="preserve">1 </w:t>
            </w:r>
            <w:r>
              <w:rPr>
                <w:rFonts w:ascii="Times New Roman" w:hAnsi="Times New Roman" w:cs="Times New Roman"/>
                <w:sz w:val="24"/>
              </w:rPr>
              <w:t>марта</w:t>
            </w:r>
            <w:r w:rsidRPr="0074059F">
              <w:rPr>
                <w:rFonts w:ascii="Times New Roman" w:hAnsi="Times New Roman" w:cs="Times New Roman"/>
                <w:sz w:val="24"/>
              </w:rPr>
              <w:t xml:space="preserve"> 2023 года / Под редакцией С.И. Макаренк</w:t>
            </w:r>
            <w:r>
              <w:rPr>
                <w:rFonts w:ascii="Times New Roman" w:hAnsi="Times New Roman" w:cs="Times New Roman"/>
                <w:sz w:val="24"/>
              </w:rPr>
              <w:t>о</w:t>
            </w:r>
            <w:r w:rsidRPr="0074059F">
              <w:rPr>
                <w:rFonts w:ascii="Times New Roman" w:hAnsi="Times New Roman" w:cs="Times New Roman"/>
                <w:sz w:val="24"/>
              </w:rPr>
              <w:t xml:space="preserve">, сост. В.С. Елагин, Е.А. </w:t>
            </w:r>
            <w:proofErr w:type="spellStart"/>
            <w:r w:rsidRPr="0074059F">
              <w:rPr>
                <w:rFonts w:ascii="Times New Roman" w:hAnsi="Times New Roman" w:cs="Times New Roman"/>
                <w:sz w:val="24"/>
              </w:rPr>
              <w:t>Аникевич</w:t>
            </w:r>
            <w:proofErr w:type="spellEnd"/>
            <w:r w:rsidRPr="0074059F">
              <w:rPr>
                <w:rFonts w:ascii="Times New Roman" w:hAnsi="Times New Roman" w:cs="Times New Roman"/>
                <w:sz w:val="24"/>
              </w:rPr>
              <w:t>. Том 4. – Санкт-Петербург: Санкт-Петербургский государственный университет телекоммуникаций им. проф. М.А. Бонч-Бруевича, 2023. – С. 393-396. – EDN XHBCTW.</w:t>
            </w:r>
          </w:p>
        </w:tc>
        <w:tc>
          <w:tcPr>
            <w:tcW w:w="8447" w:type="dxa"/>
          </w:tcPr>
          <w:p w:rsidR="0074059F" w:rsidRPr="0074059F" w:rsidRDefault="0074059F" w:rsidP="0074059F">
            <w:pPr>
              <w:jc w:val="both"/>
              <w:rPr>
                <w:rFonts w:ascii="Times New Roman" w:hAnsi="Times New Roman" w:cs="Times New Roman"/>
                <w:sz w:val="24"/>
              </w:rPr>
            </w:pPr>
            <w:r w:rsidRPr="0074059F">
              <w:rPr>
                <w:rFonts w:ascii="Times New Roman" w:hAnsi="Times New Roman" w:cs="Times New Roman"/>
                <w:sz w:val="24"/>
              </w:rPr>
              <w:t>Образовательный процесс связан с накоплением данных. Анализ больших данных имеет большое значение для развития образовательной аналитики и способствует нахождению актуальных для системы образования решений. В статье рассматриваются аспекты сбора и анализа образовательных данных. Выделены виды образовательных данных, показан пример их сбора и обработки.</w:t>
            </w:r>
          </w:p>
        </w:tc>
      </w:tr>
      <w:tr w:rsidR="0074059F" w:rsidRPr="0074059F" w:rsidTr="0074059F">
        <w:tc>
          <w:tcPr>
            <w:tcW w:w="988" w:type="dxa"/>
          </w:tcPr>
          <w:p w:rsidR="0074059F" w:rsidRPr="0074059F" w:rsidRDefault="0074059F" w:rsidP="0074059F">
            <w:pPr>
              <w:jc w:val="center"/>
              <w:rPr>
                <w:rFonts w:ascii="Times New Roman" w:hAnsi="Times New Roman" w:cs="Times New Roman"/>
                <w:sz w:val="24"/>
              </w:rPr>
            </w:pPr>
            <w:r>
              <w:rPr>
                <w:rFonts w:ascii="Times New Roman" w:hAnsi="Times New Roman" w:cs="Times New Roman"/>
                <w:sz w:val="24"/>
              </w:rPr>
              <w:t>5</w:t>
            </w:r>
          </w:p>
        </w:tc>
        <w:tc>
          <w:tcPr>
            <w:tcW w:w="5953" w:type="dxa"/>
          </w:tcPr>
          <w:p w:rsidR="0074059F" w:rsidRPr="0074059F" w:rsidRDefault="0074059F" w:rsidP="0074059F">
            <w:pPr>
              <w:jc w:val="both"/>
              <w:rPr>
                <w:rFonts w:ascii="Times New Roman" w:hAnsi="Times New Roman" w:cs="Times New Roman"/>
                <w:sz w:val="24"/>
              </w:rPr>
            </w:pPr>
            <w:proofErr w:type="spellStart"/>
            <w:r w:rsidRPr="0074059F">
              <w:rPr>
                <w:rFonts w:ascii="Times New Roman" w:hAnsi="Times New Roman" w:cs="Times New Roman"/>
                <w:sz w:val="24"/>
              </w:rPr>
              <w:t>Агатова</w:t>
            </w:r>
            <w:proofErr w:type="spellEnd"/>
            <w:r w:rsidRPr="0074059F">
              <w:rPr>
                <w:rFonts w:ascii="Times New Roman" w:hAnsi="Times New Roman" w:cs="Times New Roman"/>
                <w:sz w:val="24"/>
              </w:rPr>
              <w:t xml:space="preserve">, О. А. Политики открытых данных и практики работы с данными в университетах-участниках проекта «Приоритет-2030» / О. А. </w:t>
            </w:r>
            <w:proofErr w:type="spellStart"/>
            <w:r w:rsidRPr="0074059F">
              <w:rPr>
                <w:rFonts w:ascii="Times New Roman" w:hAnsi="Times New Roman" w:cs="Times New Roman"/>
                <w:sz w:val="24"/>
              </w:rPr>
              <w:t>Агатова</w:t>
            </w:r>
            <w:proofErr w:type="spellEnd"/>
            <w:r w:rsidRPr="0074059F">
              <w:rPr>
                <w:rFonts w:ascii="Times New Roman" w:hAnsi="Times New Roman" w:cs="Times New Roman"/>
                <w:sz w:val="24"/>
              </w:rPr>
              <w:t xml:space="preserve"> // Информатизация образования и методика электронного обучения: цифровые технологии в </w:t>
            </w:r>
            <w:proofErr w:type="gramStart"/>
            <w:r w:rsidRPr="0074059F">
              <w:rPr>
                <w:rFonts w:ascii="Times New Roman" w:hAnsi="Times New Roman" w:cs="Times New Roman"/>
                <w:sz w:val="24"/>
              </w:rPr>
              <w:t>образовании :</w:t>
            </w:r>
            <w:proofErr w:type="gramEnd"/>
            <w:r w:rsidRPr="0074059F">
              <w:rPr>
                <w:rFonts w:ascii="Times New Roman" w:hAnsi="Times New Roman" w:cs="Times New Roman"/>
                <w:sz w:val="24"/>
              </w:rPr>
              <w:t xml:space="preserve"> Материалы VII Международной научной конференции, Красноярск, 19–22 сентября 2023 года. – Красноярск: Красноярский государственный педагогический университет им. В.П. Астафьева, 2023. – С. 957-961. – EDN YNMXKV.</w:t>
            </w:r>
          </w:p>
        </w:tc>
        <w:tc>
          <w:tcPr>
            <w:tcW w:w="8447" w:type="dxa"/>
          </w:tcPr>
          <w:p w:rsidR="0074059F" w:rsidRPr="0074059F" w:rsidRDefault="0074059F" w:rsidP="0074059F">
            <w:pPr>
              <w:jc w:val="both"/>
              <w:rPr>
                <w:rFonts w:ascii="Times New Roman" w:hAnsi="Times New Roman" w:cs="Times New Roman"/>
                <w:sz w:val="24"/>
              </w:rPr>
            </w:pPr>
            <w:r w:rsidRPr="0074059F">
              <w:rPr>
                <w:rFonts w:ascii="Times New Roman" w:hAnsi="Times New Roman" w:cs="Times New Roman"/>
                <w:sz w:val="24"/>
              </w:rPr>
              <w:t>В статье представлены обобщенные результаты экспертизы проектов «Цифровая кафедра» и программ цифровой трансформации университетов в рамках федерального проекта «Приоритет 2030». Раскрыты особенности экспертизы, позволившей выявить особенности цифровой трансформации университетов, системообразующим элементом развития которых становятся политики открытых данных и политики образовательной деятельности, основанные на практиках работы с данными. Охарактеризовано: как практики работы с данными изменяют дидактику университетов, трансформируя трансляционную дидактику аудиторного формата в когнитивную дидактику, когнитивную инженерию цифровых образовательных сред университетов.</w:t>
            </w:r>
          </w:p>
        </w:tc>
      </w:tr>
    </w:tbl>
    <w:p w:rsidR="00725AB3" w:rsidRPr="0074059F" w:rsidRDefault="00725AB3" w:rsidP="0074059F">
      <w:pPr>
        <w:spacing w:after="0" w:line="360" w:lineRule="auto"/>
        <w:jc w:val="both"/>
        <w:rPr>
          <w:rFonts w:ascii="Times New Roman" w:hAnsi="Times New Roman" w:cs="Times New Roman"/>
          <w:sz w:val="24"/>
        </w:rPr>
      </w:pPr>
      <w:bookmarkStart w:id="0" w:name="_GoBack"/>
      <w:bookmarkEnd w:id="0"/>
    </w:p>
    <w:sectPr w:rsidR="00725AB3" w:rsidRPr="0074059F" w:rsidSect="0074059F">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59F"/>
    <w:rsid w:val="00725AB3"/>
    <w:rsid w:val="007405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5AAC7"/>
  <w15:chartTrackingRefBased/>
  <w15:docId w15:val="{7490CFBB-16F1-4777-8358-47E99A8BD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405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856</Words>
  <Characters>4885</Characters>
  <Application>Microsoft Office Word</Application>
  <DocSecurity>0</DocSecurity>
  <Lines>40</Lines>
  <Paragraphs>11</Paragraphs>
  <ScaleCrop>false</ScaleCrop>
  <Company/>
  <LinksUpToDate>false</LinksUpToDate>
  <CharactersWithSpaces>5730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Fyodor</dc:creator>
  <cp:keywords/>
  <dc:description/>
  <cp:lastModifiedBy>Fyodor</cp:lastModifiedBy>
  <cp:revision>1</cp:revision>
  <dcterms:created xsi:type="dcterms:W3CDTF">2024-12-10T00:01:00Z</dcterms:created>
  <dcterms:modified xsi:type="dcterms:W3CDTF">2024-12-10T00:08:00Z</dcterms:modified>
</cp:coreProperties>
</file>