
<file path=[Content_Types].xml><?xml version="1.0" encoding="utf-8"?>
<Types xmlns="http://schemas.openxmlformats.org/package/2006/content-types">
  <Default Extension="xlsx" ContentType="application/vnd.openxmlformats-officedocument.spreadsheetml.sheet"/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charts/chart2.xml" ContentType="application/vnd.openxmlformats-officedocument.drawingml.chart+xml"/>
  <Override PartName="/word/charts/chart1.xml" ContentType="application/vnd.openxmlformats-officedocument.drawingml.chart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charts/colors2.xml" ContentType="application/vnd.ms-office.chartcolorstyle+xml"/>
  <Override PartName="/word/theme/theme1.xml" ContentType="application/vnd.openxmlformats-officedocument.theme+xml"/>
  <Override PartName="/docProps/core.xml" ContentType="application/vnd.openxmlformats-package.core-properties+xml"/>
  <Override PartName="/word/charts/colors1.xml" ContentType="application/vnd.ms-office.chartcolorsty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charts/style2.xml" ContentType="application/vnd.ms-office.chartstyle+xml"/>
  <Override PartName="/word/charts/style1.xml" ContentType="application/vnd.ms-office.chartstyl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lang w:val="ru-RU"/>
          <w14:ligatures w14:val="none"/>
        </w:rPr>
      </w:pPr>
      <w:r>
        <w:rPr>
          <w:highlight w:val="none"/>
          <w:lang w:val="ru-RU"/>
        </w:rPr>
      </w:r>
      <w:r>
        <w:rPr>
          <w:lang w:val="ru-RU"/>
        </w:rPr>
        <w:drawing>
          <wp:anchor xmlns:wp="http://schemas.openxmlformats.org/drawingml/2006/wordprocessingDrawing" xmlns:wp14="http://schemas.microsoft.com/office/word/2010/wordprocessingDrawing" distT="0" distB="0" distL="115200" distR="115200" simplePos="0" relativeHeight="204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53446</wp:posOffset>
            </wp:positionV>
            <wp:extent cx="6609600" cy="3600000"/>
            <wp:effectExtent l="4762" t="4762" r="4762" b="4762"/>
            <wp:wrapTopAndBottom/>
            <wp:docPr id="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>
        <w:rPr>
          <w:highlight w:val="none"/>
          <w:lang w:val="ru-RU"/>
        </w:rPr>
      </w:r>
      <w:r>
        <w:rPr>
          <w:highlight w:val="none"/>
          <w:lang w:val="ru-RU"/>
        </w:rPr>
      </w:r>
    </w:p>
    <w:p>
      <w:pPr>
        <w:rPr>
          <w:lang w:val="ru-RU"/>
        </w:rPr>
      </w:pPr>
      <w:r>
        <w:rPr>
          <w:lang w:val="ru-RU"/>
        </w:rPr>
        <w:drawing>
          <wp:anchor xmlns:wp="http://schemas.openxmlformats.org/drawingml/2006/wordprocessingDrawing" xmlns:wp14="http://schemas.microsoft.com/office/word/2010/wordprocessingDrawing" distT="0" distB="0" distL="115200" distR="115200" simplePos="0" relativeHeight="204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53447</wp:posOffset>
            </wp:positionV>
            <wp:extent cx="6609600" cy="3600000"/>
            <wp:effectExtent l="4762" t="4762" r="4762" b="4762"/>
            <wp:wrapTopAndBottom/>
            <wp:docPr id="2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>
        <w:rPr>
          <w:lang w:val="ru-RU"/>
        </w:rPr>
      </w:r>
      <w:r>
        <w:rPr>
          <w:lang w:val="ru-RU"/>
        </w:rPr>
      </w:r>
    </w:p>
    <w:p>
      <w:pPr>
        <w:rPr>
          <w:highlight w:val="none"/>
          <w:lang w:val="ru-RU"/>
          <w14:ligatures w14:val="none"/>
        </w:rPr>
      </w:pPr>
      <w:r>
        <w:rPr>
          <w:highlight w:val="none"/>
          <w:lang w:val="ru-RU"/>
          <w14:ligatures w14:val="none"/>
        </w:rPr>
      </w:r>
      <w:r>
        <w:rPr>
          <w:highlight w:val="none"/>
          <w:lang w:val="ru-RU"/>
          <w14:ligatures w14:val="none"/>
        </w:rPr>
      </w:r>
    </w:p>
    <w:p>
      <w:pPr>
        <w:rPr>
          <w:highlight w:val="none"/>
          <w:lang w:val="ru-RU"/>
          <w14:ligatures w14:val="none"/>
        </w:rPr>
      </w:pPr>
      <w:r>
        <w:rPr>
          <w:lang w:val="ru-RU"/>
        </w:rPr>
        <w:t xml:space="preserve">Источник: </w:t>
      </w:r>
      <w:r>
        <w:rPr>
          <w:lang w:val="ru-RU"/>
        </w:rPr>
      </w:r>
      <w:hyperlink r:id="rId10" w:tooltip="https://academyit.ru/academy/mediacenter/media/primenenie-rossiyskogo-po-v-shkolnom-obrazovanii-/" w:history="1">
        <w:r>
          <w:rPr>
            <w:rStyle w:val="174"/>
            <w:lang w:val="ru-RU"/>
          </w:rPr>
          <w:t xml:space="preserve">https://academyit.ru/academy/mediacenter/media/primenenie-rossiyskogo-po-v-shkolnom-obrazovanii-/</w:t>
        </w:r>
        <w:r>
          <w:rPr>
            <w:rStyle w:val="174"/>
            <w:lang w:val="ru-RU"/>
          </w:rPr>
        </w:r>
      </w:hyperlink>
      <w:r>
        <w:rPr>
          <w:lang w:val="ru-RU"/>
        </w:rPr>
        <w:t xml:space="preserve"> </w:t>
      </w:r>
      <w:r>
        <w:rPr>
          <w:lang w:val="ru-RU"/>
        </w:rPr>
      </w:r>
    </w:p>
    <w:sectPr>
      <w:footnotePr/>
      <w:endnotePr/>
      <w:type w:val="nextPage"/>
      <w:pgSz w:w="11906" w:h="16838" w:orient="portrait"/>
      <w:pgMar w:top="720" w:right="720" w:bottom="720" w:left="72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Sans">
    <w:panose1 w:val="020B0503020203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rPr>
      <w:rFonts w:ascii="PT Sans" w:hAnsi="PT Sans" w:eastAsia="PT Sans" w:cs="PT Sans"/>
      <w:sz w:val="28"/>
      <w:szCs w:val="28"/>
    </w:rPr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hart" Target="charts/chart1.xml" /><Relationship Id="rId9" Type="http://schemas.openxmlformats.org/officeDocument/2006/relationships/chart" Target="charts/chart2.xml" /><Relationship Id="rId10" Type="http://schemas.openxmlformats.org/officeDocument/2006/relationships/hyperlink" Target="https://academyit.ru/academy/mediacenter/media/primenenie-rossiyskogo-po-v-shkolnom-obrazovanii-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charts/_rels/chart1.xml.rels><?xml version="1.0" encoding="UTF-8" standalone="yes"?><Relationships xmlns="http://schemas.openxmlformats.org/package/2006/relationships"><Relationship Id="rId1" Type="http://schemas.microsoft.com/office/2011/relationships/chartStyle" Target="style1.xml" /><Relationship Id="rId2" Type="http://schemas.microsoft.com/office/2011/relationships/chartColorStyle" Target="colors1.xml" /><Relationship Id="rId3" Type="http://schemas.openxmlformats.org/officeDocument/2006/relationships/package" Target="../embeddings/Microsoft_Excel_Worksheet1.xlsx" /></Relationships>
</file>

<file path=word/charts/_rels/chart2.xml.rels><?xml version="1.0" encoding="UTF-8" standalone="yes"?><Relationships xmlns="http://schemas.openxmlformats.org/package/2006/relationships"><Relationship Id="rId1" Type="http://schemas.microsoft.com/office/2011/relationships/chartStyle" Target="style2.xml" /><Relationship Id="rId2" Type="http://schemas.microsoft.com/office/2011/relationships/chartColorStyle" Target="colors2.xml" /><Relationship Id="rId3" Type="http://schemas.openxmlformats.org/officeDocument/2006/relationships/package" Target="../embeddings/Microsoft_Excel_Worksheet2.xlsx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en-US"/>
  <c:roundedCorners val="0"/>
  <mc:AlternateContent>
    <mc:Choice Requires="c14">
      <c14:style val="102"/>
    </mc:Choice>
    <mc:Fallback>
      <c:style val="2"/>
    </mc:Fallback>
  </mc:AlternateContent>
  <c:chart>
    <c:title>
      <c:tx>
        <c:rich>
          <a:bodyPr/>
          <a:p>
            <a:pPr>
              <a:defRPr/>
            </a:pPr>
            <a:r>
              <a:rPr lang="ru-RU"/>
              <a:t>Операционные системы</a:t>
            </a:r>
            <a:br>
              <a:rPr lang="ru-RU"/>
            </a:br>
            <a:r>
              <a:rPr lang="ru-RU"/>
              <a:t>используемые в образовании</a:t>
            </a:r>
            <a:endParaRPr lang="ru-RU"/>
          </a:p>
        </c:rich>
      </c:tx>
      <c:layout/>
      <c:overlay val="0"/>
      <c:spPr bwMode="auto">
        <a:prstGeom prst="rect">
          <a:avLst/>
        </a:prstGeom>
        <a:noFill/>
        <a:ln>
          <a:noFill/>
        </a:ln>
      </c:spPr>
      <c:txPr>
        <a:bodyPr/>
        <a:p>
          <a:pPr>
            <a:defRPr sz="1400" cap="none" spc="19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/>
        </a:p>
      </c:txPr>
    </c:title>
    <c:autoTitleDeleted val="0"/>
    <c:plotArea>
      <c:layout>
        <c:manualLayout/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dPt>
            <c:idx val="0"/>
            <c:spPr bwMode="auto">
              <a:prstGeom prst="rect">
                <a:avLst/>
              </a:prstGeom>
              <a:gradFill>
                <a:gsLst>
                  <a:gs pos="0">
                    <a:schemeClr val="accent1">
                      <a:tint val="50000"/>
                      <a:satMod val="300000"/>
                    </a:schemeClr>
                  </a:gs>
                  <a:gs pos="35000">
                    <a:schemeClr val="accent1">
                      <a:tint val="37000"/>
                      <a:satMod val="300000"/>
                    </a:schemeClr>
                  </a:gs>
                  <a:gs pos="100000">
                    <a:schemeClr val="accent1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accent1">
                    <a:shade val="95000"/>
                  </a:schemeClr>
                </a:solidFill>
                <a:round/>
              </a:ln>
            </c:spPr>
          </c:dPt>
          <c:dPt>
            <c:idx val="1"/>
            <c:spPr bwMode="auto">
              <a:prstGeom prst="rect">
                <a:avLst/>
              </a:prstGeom>
              <a:gradFill>
                <a:gsLst>
                  <a:gs pos="0">
                    <a:schemeClr val="accent2">
                      <a:tint val="50000"/>
                      <a:satMod val="300000"/>
                    </a:schemeClr>
                  </a:gs>
                  <a:gs pos="35000">
                    <a:schemeClr val="accent2">
                      <a:tint val="37000"/>
                      <a:satMod val="300000"/>
                    </a:schemeClr>
                  </a:gs>
                  <a:gs pos="100000">
                    <a:schemeClr val="accent2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accent2">
                    <a:shade val="95000"/>
                  </a:schemeClr>
                </a:solidFill>
                <a:round/>
              </a:ln>
            </c:spPr>
          </c:dPt>
          <c:dPt>
            <c:idx val="2"/>
            <c:spPr bwMode="auto">
              <a:prstGeom prst="rect">
                <a:avLst/>
              </a:prstGeom>
              <a:gradFill>
                <a:gsLst>
                  <a:gs pos="0">
                    <a:schemeClr val="accent3">
                      <a:tint val="50000"/>
                      <a:satMod val="300000"/>
                    </a:schemeClr>
                  </a:gs>
                  <a:gs pos="35000">
                    <a:schemeClr val="accent3">
                      <a:tint val="37000"/>
                      <a:satMod val="300000"/>
                    </a:schemeClr>
                  </a:gs>
                  <a:gs pos="100000">
                    <a:schemeClr val="accent3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accent3">
                    <a:shade val="95000"/>
                  </a:schemeClr>
                </a:solidFill>
                <a:round/>
              </a:ln>
            </c:spPr>
          </c:dPt>
          <c:dPt>
            <c:idx val="3"/>
            <c:spPr bwMode="auto">
              <a:prstGeom prst="rect">
                <a:avLst/>
              </a:prstGeom>
              <a:gradFill>
                <a:gsLst>
                  <a:gs pos="0">
                    <a:schemeClr val="accent4">
                      <a:tint val="50000"/>
                      <a:satMod val="300000"/>
                    </a:schemeClr>
                  </a:gs>
                  <a:gs pos="35000">
                    <a:schemeClr val="accent4">
                      <a:tint val="37000"/>
                      <a:satMod val="300000"/>
                    </a:schemeClr>
                  </a:gs>
                  <a:gs pos="100000">
                    <a:schemeClr val="accent4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accent4">
                    <a:shade val="95000"/>
                  </a:schemeClr>
                </a:solidFill>
                <a:round/>
              </a:ln>
            </c:spPr>
          </c:dPt>
          <c:dPt>
            <c:idx val="4"/>
            <c:spPr bwMode="auto">
              <a:prstGeom prst="rect">
                <a:avLst/>
              </a:prstGeom>
              <a:gradFill>
                <a:gsLst>
                  <a:gs pos="0">
                    <a:schemeClr val="accent5">
                      <a:tint val="50000"/>
                      <a:satMod val="300000"/>
                    </a:schemeClr>
                  </a:gs>
                  <a:gs pos="35000">
                    <a:schemeClr val="accent5">
                      <a:tint val="37000"/>
                      <a:satMod val="300000"/>
                    </a:schemeClr>
                  </a:gs>
                  <a:gs pos="100000">
                    <a:schemeClr val="accent5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accent5">
                    <a:shade val="95000"/>
                  </a:schemeClr>
                </a:solidFill>
                <a:round/>
              </a:ln>
            </c:spPr>
          </c:dPt>
          <c:dPt>
            <c:idx val="5"/>
            <c:spPr bwMode="auto">
              <a:prstGeom prst="rect">
                <a:avLst/>
              </a:prstGeom>
              <a:gradFill>
                <a:gsLst>
                  <a:gs pos="0">
                    <a:schemeClr val="accent6">
                      <a:tint val="50000"/>
                      <a:satMod val="300000"/>
                    </a:schemeClr>
                  </a:gs>
                  <a:gs pos="35000">
                    <a:schemeClr val="accent6">
                      <a:tint val="37000"/>
                      <a:satMod val="300000"/>
                    </a:schemeClr>
                  </a:gs>
                  <a:gs pos="100000">
                    <a:schemeClr val="accent6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accent6">
                    <a:shade val="95000"/>
                  </a:schemeClr>
                </a:solidFill>
                <a:round/>
              </a:ln>
            </c:spPr>
          </c:dPt>
          <c:cat>
            <c:strRef>
              <c:f>Sheet1!$A$2:$A$7</c:f>
              <c:strCache>
                <c:ptCount val="6"/>
                <c:pt idx="0">
                  <c:v xml:space="preserve">Windows - 88,8%</c:v>
                </c:pt>
                <c:pt idx="1">
                  <c:v xml:space="preserve">Astra Linux - 3,2%</c:v>
                </c:pt>
                <c:pt idx="2">
                  <c:v xml:space="preserve">Альт Образование - 1%</c:v>
                </c:pt>
                <c:pt idx="3">
                  <c:v xml:space="preserve">РЕД ОС - 0,5%</c:v>
                </c:pt>
                <c:pt idx="4">
                  <c:v xml:space="preserve">РОСА «ФРЕШ» - 0,5%</c:v>
                </c:pt>
                <c:pt idx="5">
                  <c:v xml:space="preserve">Linux - 6%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88.8</c:v>
                </c:pt>
                <c:pt idx="1">
                  <c:v>3.2</c:v>
                </c:pt>
                <c:pt idx="2">
                  <c:v>1</c:v>
                </c:pt>
                <c:pt idx="3">
                  <c:v>0.5</c:v>
                </c:pt>
                <c:pt idx="4">
                  <c:v>0.5</c:v>
                </c:pt>
                <c:pt idx="5">
                  <c:v>6</c:v>
                </c:pt>
              </c:numCache>
            </c:numRef>
          </c:val>
        </c:ser>
        <c:dLbls>
          <c:showBubbleSize val="0"/>
          <c:showCatName val="0"/>
          <c:showLegendKey val="0"/>
          <c:showPercent val="0"/>
          <c:showSerName val="0"/>
          <c:showVal val="0"/>
        </c:dLbls>
      </c:pieChart>
      <c:spPr bwMode="auto">
        <a:prstGeom prst="rect">
          <a:avLst/>
        </a:prstGeom>
        <a:noFill/>
        <a:ln>
          <a:noFill/>
        </a:ln>
      </c:spPr>
    </c:plotArea>
    <c:legend>
      <c:legendPos val="l"/>
      <c:layout>
        <c:manualLayout/>
      </c:layout>
      <c:overlay val="0"/>
      <c:spPr bwMode="auto">
        <a:prstGeom prst="rect">
          <a:avLst/>
        </a:prstGeom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 bwMode="auto">
    <a:xfrm>
      <a:off x="0" y="0"/>
      <a:ext cx="6609600" cy="3600000"/>
    </a:xfrm>
    <a:prstGeom prst="rect">
      <a:avLst/>
    </a:prstGeom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</c:spPr>
  <c:txPr>
    <a:bodyPr/>
    <a:p>
      <a:pPr>
        <a:defRPr sz="900">
          <a:solidFill>
            <a:schemeClr val="dk1"/>
          </a:solidFill>
          <a:latin typeface="+mn-lt"/>
          <a:ea typeface="+mn-ea"/>
          <a:cs typeface="+mn-cs"/>
        </a:defRPr>
      </a:pPr>
      <a:endParaRPr/>
    </a:p>
  </c:txPr>
  <c:externalData r:id="rId3">
    <c:autoUpdate val="0"/>
  </c:externalData>
  <c:printSettings>
    <c:headerFooter/>
    <c:pageMargins l="0.69999999999999996" r="0.69999999999999996" t="0.75" b="0.75" header="0.29999999999999999" footer="0.29999999999999999"/>
    <c:pageSetup/>
  </c:printSettings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mc="http://schemas.openxmlformats.org/markup-compatibility/2006" xmlns:c15="http://schemas.microsoft.com/office/drawing/2012/chart" xmlns:c14="http://schemas.microsoft.com/office/drawing/2007/8/2/chart" xmlns:c16r2="http://schemas.microsoft.com/office/drawing/2015/06/chart">
  <c:date1904 val="0"/>
  <c:lang val="en-US"/>
  <c:roundedCorners val="0"/>
  <mc:AlternateContent>
    <mc:Choice Requires="c14">
      <c14:style val="102"/>
    </mc:Choice>
    <mc:Fallback>
      <c:style val="2"/>
    </mc:Fallback>
  </mc:AlternateContent>
  <c:chart>
    <c:title>
      <c:tx>
        <c:rich>
          <a:bodyPr/>
          <a:p>
            <a:pPr>
              <a:defRPr/>
            </a:pPr>
            <a:r>
              <a:rPr lang="ru-RU"/>
              <a:t>Осведомлённость об отечественном ПО</a:t>
            </a:r>
            <a:endParaRPr lang="ru-RU"/>
          </a:p>
        </c:rich>
      </c:tx>
      <c:layout/>
      <c:overlay val="0"/>
      <c:spPr bwMode="auto">
        <a:prstGeom prst="rect">
          <a:avLst/>
        </a:prstGeom>
        <a:noFill/>
        <a:ln>
          <a:noFill/>
        </a:ln>
      </c:spPr>
      <c:txPr>
        <a:bodyPr/>
        <a:p>
          <a:pPr>
            <a:defRPr sz="1400" cap="none" spc="19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/>
        </a:p>
      </c:txPr>
    </c:title>
    <c:autoTitleDeleted val="0"/>
    <c:plotArea>
      <c:layout>
        <c:manualLayout/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dPt>
            <c:idx val="0"/>
            <c:spPr bwMode="auto">
              <a:prstGeom prst="rect">
                <a:avLst/>
              </a:prstGeom>
              <a:gradFill>
                <a:gsLst>
                  <a:gs pos="0">
                    <a:schemeClr val="accent1">
                      <a:tint val="50000"/>
                      <a:satMod val="300000"/>
                    </a:schemeClr>
                  </a:gs>
                  <a:gs pos="35000">
                    <a:schemeClr val="accent1">
                      <a:tint val="37000"/>
                      <a:satMod val="300000"/>
                    </a:schemeClr>
                  </a:gs>
                  <a:gs pos="100000">
                    <a:schemeClr val="accent1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accent1">
                    <a:shade val="95000"/>
                  </a:schemeClr>
                </a:solidFill>
                <a:round/>
              </a:ln>
            </c:spPr>
          </c:dPt>
          <c:dPt>
            <c:idx val="1"/>
            <c:spPr bwMode="auto">
              <a:prstGeom prst="rect">
                <a:avLst/>
              </a:prstGeom>
              <a:gradFill>
                <a:gsLst>
                  <a:gs pos="0">
                    <a:schemeClr val="accent2">
                      <a:tint val="50000"/>
                      <a:satMod val="300000"/>
                    </a:schemeClr>
                  </a:gs>
                  <a:gs pos="35000">
                    <a:schemeClr val="accent2">
                      <a:tint val="37000"/>
                      <a:satMod val="300000"/>
                    </a:schemeClr>
                  </a:gs>
                  <a:gs pos="100000">
                    <a:schemeClr val="accent2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accent2">
                    <a:shade val="95000"/>
                  </a:schemeClr>
                </a:solidFill>
                <a:round/>
              </a:ln>
            </c:spPr>
          </c:dPt>
          <c:dPt>
            <c:idx val="2"/>
            <c:spPr bwMode="auto">
              <a:prstGeom prst="rect">
                <a:avLst/>
              </a:prstGeom>
              <a:gradFill>
                <a:gsLst>
                  <a:gs pos="0">
                    <a:schemeClr val="accent3">
                      <a:tint val="50000"/>
                      <a:satMod val="300000"/>
                    </a:schemeClr>
                  </a:gs>
                  <a:gs pos="35000">
                    <a:schemeClr val="accent3">
                      <a:tint val="37000"/>
                      <a:satMod val="300000"/>
                    </a:schemeClr>
                  </a:gs>
                  <a:gs pos="100000">
                    <a:schemeClr val="accent3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accent3">
                    <a:shade val="95000"/>
                  </a:schemeClr>
                </a:solidFill>
                <a:round/>
              </a:ln>
            </c:spPr>
          </c:dPt>
          <c:dPt>
            <c:idx val="3"/>
            <c:spPr bwMode="auto">
              <a:prstGeom prst="rect">
                <a:avLst/>
              </a:prstGeom>
              <a:gradFill>
                <a:gsLst>
                  <a:gs pos="0">
                    <a:schemeClr val="accent4">
                      <a:tint val="50000"/>
                      <a:satMod val="300000"/>
                    </a:schemeClr>
                  </a:gs>
                  <a:gs pos="35000">
                    <a:schemeClr val="accent4">
                      <a:tint val="37000"/>
                      <a:satMod val="300000"/>
                    </a:schemeClr>
                  </a:gs>
                  <a:gs pos="100000">
                    <a:schemeClr val="accent4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accent4">
                    <a:shade val="95000"/>
                  </a:schemeClr>
                </a:solidFill>
                <a:round/>
              </a:ln>
            </c:spPr>
          </c:dPt>
          <c:dLbls>
            <c:dLbl>
              <c:idx val="0"/>
              <c:dLblPos val="ctr"/>
              <c:layout>
                <c:manualLayout>
                  <c:x val="0.018730"/>
                  <c:y val="0.007930"/>
                </c:manualLayout>
              </c:layout>
              <c:separator xml:space="preserve"> -</c:separator>
              <c:showBubbleSize val="0"/>
              <c:showCatName val="1"/>
              <c:showLegendKey val="0"/>
              <c:showPercent val="0"/>
              <c:showSerName val="0"/>
              <c:showVal val="1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>
                <c:rich>
                  <a:bodyPr/>
                  <a:p>
                    <a:pPr>
                      <a:defRPr sz="90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/>
                      <a:t>Уверенное владение отечественным ПО 25%</a:t>
                    </a:r>
                    <a:endParaRPr/>
                  </a:p>
                </c:rich>
              </c:tx>
              <c:txPr>
                <a:bodyPr/>
                <a:p>
                  <a:pPr>
                    <a:defRPr sz="90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/>
                </a:p>
              </c:txPr>
            </c:dLbl>
            <c:dLbl>
              <c:idx val="1"/>
              <c:dLblPos val="ctr"/>
              <c:layout>
                <c:manualLayout>
                  <c:x val="0.027380"/>
                  <c:y val="-0.007930"/>
                </c:manualLayout>
              </c:layout>
              <c:separator xml:space="preserve"> -</c:separator>
              <c:showBubbleSize val="0"/>
              <c:showCatName val="1"/>
              <c:showLegendKey val="0"/>
              <c:showPercent val="0"/>
              <c:showSerName val="0"/>
              <c:showVal val="1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>
                <c:rich>
                  <a:bodyPr/>
                  <a:p>
                    <a:pPr>
                      <a:defRPr sz="90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/>
                      <a:t>Изучали, но не применяли на практике 27%</a:t>
                    </a:r>
                    <a:endParaRPr/>
                  </a:p>
                </c:rich>
              </c:tx>
              <c:txPr>
                <a:bodyPr/>
                <a:p>
                  <a:pPr>
                    <a:defRPr sz="90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/>
                </a:p>
              </c:txPr>
            </c:dLbl>
            <c:dLbl>
              <c:idx val="2"/>
              <c:dLblPos val="ctr"/>
              <c:layout>
                <c:manualLayout>
                  <c:x val="-0.040350"/>
                  <c:y val="0.018520"/>
                </c:manualLayout>
              </c:layout>
              <c:separator xml:space="preserve"> -</c:separator>
              <c:showBubbleSize val="0"/>
              <c:showCatName val="1"/>
              <c:showLegendKey val="0"/>
              <c:showPercent val="0"/>
              <c:showSerName val="0"/>
              <c:showVal val="1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>
                <c:rich>
                  <a:bodyPr/>
                  <a:p>
                    <a:pPr>
                      <a:defRPr sz="90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/>
                      <a:t>Знают только названия 18%</a:t>
                    </a:r>
                    <a:endParaRPr/>
                  </a:p>
                </c:rich>
              </c:tx>
              <c:txPr>
                <a:bodyPr/>
                <a:p>
                  <a:pPr>
                    <a:defRPr sz="90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/>
                </a:p>
              </c:txPr>
            </c:dLbl>
            <c:dLbl>
              <c:idx val="3"/>
              <c:dLblPos val="ctr"/>
              <c:layout/>
              <c:separator xml:space="preserve"> -</c:separator>
              <c:showBubbleSize val="0"/>
              <c:showCatName val="1"/>
              <c:showLegendKey val="0"/>
              <c:showPercent val="0"/>
              <c:showSerName val="0"/>
              <c:showVal val="1"/>
              <c:spPr bwMode="auto">
                <a:prstGeom prst="rect">
                  <a:avLst/>
                </a:prstGeom>
                <a:noFill/>
                <a:ln>
                  <a:noFill/>
                </a:ln>
              </c:spPr>
              <c:tx>
                <c:rich>
                  <a:bodyPr/>
                  <a:p>
                    <a:pPr>
                      <a:defRPr sz="90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/>
                      <a:t>Не знают об отечественном ПО 30%</a:t>
                    </a:r>
                    <a:endParaRPr/>
                  </a:p>
                </c:rich>
              </c:tx>
              <c:txPr>
                <a:bodyPr/>
                <a:p>
                  <a:pPr>
                    <a:defRPr sz="90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/>
                </a:p>
              </c:txPr>
            </c:dLbl>
            <c:dLblPos val="ctr"/>
            <c:separator xml:space="preserve"> -</c:separator>
            <c:showBubbleSize val="0"/>
            <c:showCatName val="1"/>
            <c:showLeaderLines val="0"/>
            <c:showLegendKey val="0"/>
            <c:showPercent val="0"/>
            <c:showSerName val="0"/>
            <c:showVal val="1"/>
            <c:spPr bwMode="auto">
              <a:prstGeom prst="rect">
                <a:avLst/>
              </a:prstGeom>
              <a:noFill/>
              <a:ln>
                <a:noFill/>
              </a:ln>
            </c:spPr>
            <c:txPr>
              <a:bodyPr/>
              <a:p>
                <a:pPr>
                  <a:defRPr sz="90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/>
              </a:p>
            </c:txPr>
          </c:dLbls>
          <c:cat>
            <c:strRef>
              <c:f>Sheet1!$A$2:$A$5</c:f>
              <c:strCache>
                <c:ptCount val="4"/>
                <c:pt idx="0">
                  <c:v xml:space="preserve">Уверенное владение отечественным ПО</c:v>
                </c:pt>
                <c:pt idx="1">
                  <c:v xml:space="preserve">Изучали, но не применяли на практике</c:v>
                </c:pt>
                <c:pt idx="2">
                  <c:v xml:space="preserve">Знают только названия</c:v>
                </c:pt>
                <c:pt idx="3">
                  <c:v xml:space="preserve">Не знают об отечественном ПО</c:v>
                </c:pt>
              </c:strCache>
            </c:strRef>
          </c:cat>
          <c:val>
            <c:numRef>
              <c:f>Sheet1!$B$2:$B$5</c:f>
              <c:numCache>
                <c:formatCode>0%</c:formatCode>
                <c:ptCount val="4"/>
                <c:pt idx="0">
                  <c:v>0.25</c:v>
                </c:pt>
                <c:pt idx="1">
                  <c:v>0.27</c:v>
                </c:pt>
                <c:pt idx="2">
                  <c:v>0.18</c:v>
                </c:pt>
                <c:pt idx="3">
                  <c:v>0.3</c:v>
                </c:pt>
              </c:numCache>
            </c:numRef>
          </c:val>
        </c:ser>
        <c:dLbls>
          <c:dLblPos val="ctr"/>
          <c:separator xml:space="preserve"> -</c:separator>
          <c:showBubbleSize val="0"/>
          <c:showCatName val="1"/>
          <c:showLeaderLines val="0"/>
          <c:showLegendKey val="0"/>
          <c:showPercent val="0"/>
          <c:showSerName val="0"/>
          <c:showVal val="1"/>
          <c:spPr bwMode="auto">
            <a:prstGeom prst="rect">
              <a:avLst/>
            </a:prstGeom>
            <a:noFill/>
            <a:ln>
              <a:noFill/>
            </a:ln>
          </c:spPr>
          <c:txPr>
            <a:bodyPr/>
            <a:p>
              <a:pPr>
                <a:defRPr sz="90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/>
            </a:p>
          </c:txPr>
        </c:dLbls>
      </c:pieChart>
      <c:spPr bwMode="auto">
        <a:prstGeom prst="rect">
          <a:avLst/>
        </a:prstGeom>
        <a:noFill/>
        <a:ln>
          <a:noFill/>
        </a:ln>
      </c:spPr>
    </c:plotArea>
    <c:plotVisOnly val="1"/>
    <c:dispBlanksAs val="gap"/>
    <c:showDLblsOverMax val="0"/>
  </c:chart>
  <c:spPr bwMode="auto">
    <a:xfrm rot="0" flipH="0" flipV="0">
      <a:off x="0" y="0"/>
      <a:ext cx="6609600" cy="3600000"/>
    </a:xfrm>
    <a:prstGeom prst="rect">
      <a:avLst/>
    </a:prstGeom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</c:spPr>
  <c:txPr>
    <a:bodyPr/>
    <a:p>
      <a:pPr>
        <a:defRPr sz="900">
          <a:solidFill>
            <a:schemeClr val="dk1"/>
          </a:solidFill>
          <a:latin typeface="+mn-lt"/>
          <a:ea typeface="+mn-ea"/>
          <a:cs typeface="+mn-cs"/>
        </a:defRPr>
      </a:pPr>
      <a:endParaRPr/>
    </a:p>
  </c:txPr>
  <c:externalData r:id="rId3">
    <c:autoUpdate val="0"/>
  </c:externalData>
  <c:printSettings>
    <c:headerFooter/>
    <c:pageMargins l="0.69999999999999996" r="0.69999999999999996" t="0.75" b="0.75" header="0.29999999999999999" footer="0.29999999999999999"/>
    <c:pageSetup/>
  </c:printSettings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4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 bwMode="auto">
      <a:prstGeom prst="rect">
        <a:avLst/>
      </a:prstGeom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>
    <cs:lnRef idx="0"/>
    <cs:fillRef idx="0"/>
    <cs:effectRef idx="0"/>
    <cs:fontRef idx="minor">
      <a:schemeClr val="dk1"/>
    </cs:fontRef>
    <cs:spPr bwMode="auto">
      <a:prstGeom prst="rect">
        <a:avLst/>
      </a:prstGeom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dataLabel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 bwMode="auto">
      <a:prstGeom prst="rect">
        <a:avLst/>
      </a:prstGeom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/>
    <cs:fillRef idx="2">
      <cs:styleClr val="auto"/>
    </cs:fillRef>
    <cs:effectRef idx="1"/>
    <cs:fontRef idx="minor">
      <a:schemeClr val="dk1"/>
    </cs:fontRef>
    <cs:spPr bwMode="auto"/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 bwMode="auto">
      <a:prstGeom prst="rect">
        <a:avLst/>
      </a:prstGeom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 bwMode="auto">
      <a:prstGeom prst="rect">
        <a:avLst/>
      </a:prstGeom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Wireframe>
    <cs:lnRef idx="0">
      <cs:styleClr val="auto"/>
    </cs:lnRef>
    <cs:fillRef idx="2"/>
    <cs:effectRef idx="0"/>
    <cs:fontRef idx="minor">
      <a:schemeClr val="dk1"/>
    </cs:fontRef>
    <cs:spPr bwMode="auto">
      <a:prstGeom prst="rect">
        <a:avLst/>
      </a:prstGeom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 bwMode="auto">
      <a:prstGeom prst="rect">
        <a:avLst/>
      </a:prstGeom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 bwMode="auto">
      <a:prstGeom prst="rect">
        <a:avLst/>
      </a:prstGeom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 bwMode="auto">
      <a:prstGeom prst="rect">
        <a:avLst/>
      </a:prstGeom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 bwMode="auto">
      <a:prstGeom prst="rect">
        <a:avLst/>
      </a:prstGeom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 bwMode="auto">
      <a:prstGeom prst="rect">
        <a:avLst/>
      </a:prstGeom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 bwMode="auto">
      <a:prstGeom prst="rect">
        <a:avLst/>
      </a:prstGeom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 bwMode="auto">
      <a:prstGeom prst="rect">
        <a:avLst/>
      </a:prstGeom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 bwMode="auto">
      <a:prstGeom prst="rect">
        <a:avLst/>
      </a:prstGeom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 bwMode="auto">
      <a:prstGeom prst="rect">
        <a:avLst/>
      </a:prstGeom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dk1"/>
    </cs:fontRef>
    <cs:spPr bwMode="auto">
      <a:prstGeom prst="rect">
        <a:avLst/>
      </a:prstGeom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cap="none" spc="19"/>
  </cs:title>
  <cs:trendline>
    <cs:lnRef idx="0">
      <cs:styleClr val="auto"/>
    </cs:lnRef>
    <cs:fillRef idx="2"/>
    <cs:effectRef idx="0"/>
    <cs:fontRef idx="minor">
      <a:schemeClr val="dk1"/>
    </cs:fontRef>
    <cs:spPr bwMode="auto">
      <a:prstGeom prst="rect">
        <a:avLst/>
      </a:prstGeom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/>
  </cs:trendlineLabel>
  <cs:upBar>
    <cs:lnRef idx="0"/>
    <cs:fillRef idx="0"/>
    <cs:effectRef idx="0"/>
    <cs:fontRef idx="minor">
      <a:schemeClr val="dk1"/>
    </cs:fontRef>
    <cs:spPr bwMode="auto">
      <a:prstGeom prst="rect">
        <a:avLst/>
      </a:prstGeom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/>
  </cs:valueAxis>
  <cs:wall>
    <cs:lnRef idx="0"/>
    <cs:fillRef idx="0"/>
    <cs:effectRef idx="0"/>
    <cs:fontRef idx="minor">
      <a:schemeClr val="dk1"/>
    </cs:fontRef>
  </cs:wall>
  <cs:dataPointMarkerLayout symbol="circle" size="4"/>
</cs:chartStyle>
</file>

<file path=word/charts/style2.xml><?xml version="1.0" encoding="utf-8"?>
<cs:chartStyle xmlns:cs="http://schemas.microsoft.com/office/drawing/2012/chartStyle" xmlns:a="http://schemas.openxmlformats.org/drawingml/2006/main" id="254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 bwMode="auto">
      <a:prstGeom prst="rect">
        <a:avLst/>
      </a:prstGeom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>
    <cs:lnRef idx="0"/>
    <cs:fillRef idx="0"/>
    <cs:effectRef idx="0"/>
    <cs:fontRef idx="minor">
      <a:schemeClr val="dk1"/>
    </cs:fontRef>
    <cs:spPr bwMode="auto">
      <a:prstGeom prst="rect">
        <a:avLst/>
      </a:prstGeom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dataLabel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 bwMode="auto">
      <a:prstGeom prst="rect">
        <a:avLst/>
      </a:prstGeom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/>
    <cs:fillRef idx="2">
      <cs:styleClr val="auto"/>
    </cs:fillRef>
    <cs:effectRef idx="1"/>
    <cs:fontRef idx="minor">
      <a:schemeClr val="dk1"/>
    </cs:fontRef>
    <cs:spPr bwMode="auto"/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 bwMode="auto">
      <a:prstGeom prst="rect">
        <a:avLst/>
      </a:prstGeom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 bwMode="auto">
      <a:prstGeom prst="rect">
        <a:avLst/>
      </a:prstGeom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Wireframe>
    <cs:lnRef idx="0">
      <cs:styleClr val="auto"/>
    </cs:lnRef>
    <cs:fillRef idx="2"/>
    <cs:effectRef idx="0"/>
    <cs:fontRef idx="minor">
      <a:schemeClr val="dk1"/>
    </cs:fontRef>
    <cs:spPr bwMode="auto">
      <a:prstGeom prst="rect">
        <a:avLst/>
      </a:prstGeom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 bwMode="auto">
      <a:prstGeom prst="rect">
        <a:avLst/>
      </a:prstGeom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 bwMode="auto">
      <a:prstGeom prst="rect">
        <a:avLst/>
      </a:prstGeom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 bwMode="auto">
      <a:prstGeom prst="rect">
        <a:avLst/>
      </a:prstGeom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 bwMode="auto">
      <a:prstGeom prst="rect">
        <a:avLst/>
      </a:prstGeom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 bwMode="auto">
      <a:prstGeom prst="rect">
        <a:avLst/>
      </a:prstGeom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 bwMode="auto">
      <a:prstGeom prst="rect">
        <a:avLst/>
      </a:prstGeom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 bwMode="auto">
      <a:prstGeom prst="rect">
        <a:avLst/>
      </a:prstGeom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 bwMode="auto">
      <a:prstGeom prst="rect">
        <a:avLst/>
      </a:prstGeom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 bwMode="auto">
      <a:prstGeom prst="rect">
        <a:avLst/>
      </a:prstGeom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dk1"/>
    </cs:fontRef>
    <cs:spPr bwMode="auto">
      <a:prstGeom prst="rect">
        <a:avLst/>
      </a:prstGeom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cap="none" spc="19"/>
  </cs:title>
  <cs:trendline>
    <cs:lnRef idx="0">
      <cs:styleClr val="auto"/>
    </cs:lnRef>
    <cs:fillRef idx="2"/>
    <cs:effectRef idx="0"/>
    <cs:fontRef idx="minor">
      <a:schemeClr val="dk1"/>
    </cs:fontRef>
    <cs:spPr bwMode="auto">
      <a:prstGeom prst="rect">
        <a:avLst/>
      </a:prstGeom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/>
  </cs:trendlineLabel>
  <cs:upBar>
    <cs:lnRef idx="0"/>
    <cs:fillRef idx="0"/>
    <cs:effectRef idx="0"/>
    <cs:fontRef idx="minor">
      <a:schemeClr val="dk1"/>
    </cs:fontRef>
    <cs:spPr bwMode="auto">
      <a:prstGeom prst="rect">
        <a:avLst/>
      </a:prstGeom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/>
  </cs:valueAxis>
  <cs:wall>
    <cs:lnRef idx="0"/>
    <cs:fillRef idx="0"/>
    <cs:effectRef idx="0"/>
    <cs:fontRef idx="minor">
      <a:schemeClr val="dk1"/>
    </cs:fontRef>
  </cs:wall>
  <cs:dataPointMarkerLayout symbol="circle" size="4"/>
</cs:chartStyle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Данила Исайчев</cp:lastModifiedBy>
  <cp:revision>1</cp:revision>
  <dcterms:modified xsi:type="dcterms:W3CDTF">2025-04-20T19:22:50Z</dcterms:modified>
</cp:coreProperties>
</file>