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rFonts w:ascii="Roboto" w:cs="Roboto" w:eastAsia="Roboto" w:hAnsi="Roboto"/>
          <w:b w:val="1"/>
          <w:color w:val="000000"/>
          <w:sz w:val="32"/>
          <w:szCs w:val="32"/>
        </w:rPr>
      </w:pPr>
      <w:bookmarkStart w:colFirst="0" w:colLast="0" w:name="_jibkpb9s365u" w:id="0"/>
      <w:bookmarkEnd w:id="0"/>
      <w:r w:rsidDel="00000000" w:rsidR="00000000" w:rsidRPr="00000000">
        <w:rPr>
          <w:rFonts w:ascii="Roboto" w:cs="Roboto" w:eastAsia="Roboto" w:hAnsi="Roboto"/>
          <w:b w:val="1"/>
          <w:color w:val="000000"/>
          <w:sz w:val="32"/>
          <w:szCs w:val="32"/>
          <w:rtl w:val="0"/>
        </w:rPr>
        <w:t xml:space="preserve">ИСР 1.2. Тезисы для выступления на семинаре по проблемам корпоративного электронного обучения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numPr>
          <w:ilvl w:val="0"/>
          <w:numId w:val="1"/>
        </w:numPr>
        <w:spacing w:after="40" w:before="240" w:lineRule="auto"/>
        <w:ind w:left="720" w:hanging="360"/>
        <w:rPr>
          <w:rFonts w:ascii="Roboto" w:cs="Roboto" w:eastAsia="Roboto" w:hAnsi="Roboto"/>
          <w:b w:val="1"/>
          <w:color w:val="000000"/>
          <w:sz w:val="28"/>
          <w:szCs w:val="28"/>
          <w:u w:val="none"/>
        </w:rPr>
      </w:pPr>
      <w:bookmarkStart w:colFirst="0" w:colLast="0" w:name="_chdcuyxuoffd" w:id="1"/>
      <w:bookmarkEnd w:id="1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Введение</w:t>
      </w:r>
    </w:p>
    <w:p w:rsidR="00000000" w:rsidDel="00000000" w:rsidP="00000000" w:rsidRDefault="00000000" w:rsidRPr="00000000" w14:paraId="00000003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Актуальность темы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4">
      <w:pPr>
        <w:numPr>
          <w:ilvl w:val="1"/>
          <w:numId w:val="6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Значение корпоративного обучения в современной индустрии видеоигр.</w:t>
      </w:r>
    </w:p>
    <w:p w:rsidR="00000000" w:rsidDel="00000000" w:rsidP="00000000" w:rsidRDefault="00000000" w:rsidRPr="00000000" w14:paraId="00000005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Внедрение нейросетей в разработку игр как важный технологический тренд.</w:t>
      </w:r>
    </w:p>
    <w:p w:rsidR="00000000" w:rsidDel="00000000" w:rsidP="00000000" w:rsidRDefault="00000000" w:rsidRPr="00000000" w14:paraId="0000000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Необходимость адаптации разработчиков игр к новым технологиям.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numPr>
          <w:ilvl w:val="0"/>
          <w:numId w:val="1"/>
        </w:numPr>
        <w:spacing w:after="40" w:before="0" w:beforeAutospacing="0" w:lineRule="auto"/>
        <w:ind w:left="720" w:hanging="360"/>
        <w:rPr>
          <w:rFonts w:ascii="Roboto" w:cs="Roboto" w:eastAsia="Roboto" w:hAnsi="Roboto"/>
          <w:b w:val="1"/>
          <w:color w:val="000000"/>
          <w:sz w:val="28"/>
          <w:szCs w:val="28"/>
          <w:u w:val="none"/>
        </w:rPr>
      </w:pPr>
      <w:bookmarkStart w:colFirst="0" w:colLast="0" w:name="_psev4um0xn5w" w:id="2"/>
      <w:bookmarkEnd w:id="2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Основные проблемы корпоративного электронного обучения</w:t>
      </w:r>
    </w:p>
    <w:p w:rsidR="00000000" w:rsidDel="00000000" w:rsidP="00000000" w:rsidRDefault="00000000" w:rsidRPr="00000000" w14:paraId="00000008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Отсутствие адаптированных программ обучения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9">
      <w:pPr>
        <w:numPr>
          <w:ilvl w:val="1"/>
          <w:numId w:val="3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Мало специализированных курсов для разработчиков игр по использованию нейросетей.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Проблемы с разработкой учебных программ, соответствующих специфике компании и потребностям сотрудников.</w:t>
      </w:r>
    </w:p>
    <w:p w:rsidR="00000000" w:rsidDel="00000000" w:rsidP="00000000" w:rsidRDefault="00000000" w:rsidRPr="00000000" w14:paraId="0000000B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Недостаток квалифицированных преподавателей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Трудности с наймом специалистов, способных эффективно обучать нейросетям.</w:t>
      </w:r>
    </w:p>
    <w:p w:rsidR="00000000" w:rsidDel="00000000" w:rsidP="00000000" w:rsidRDefault="00000000" w:rsidRPr="00000000" w14:paraId="0000000D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Проблема совмещения преподавательской и профессиональной деятельности в динамично развивающейся сфере.</w:t>
      </w:r>
    </w:p>
    <w:p w:rsidR="00000000" w:rsidDel="00000000" w:rsidP="00000000" w:rsidRDefault="00000000" w:rsidRPr="00000000" w14:paraId="0000000E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Мотивация сотрудников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0F">
      <w:pPr>
        <w:numPr>
          <w:ilvl w:val="1"/>
          <w:numId w:val="3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Низкий уровень заинтересованности в обучении новым технологиям.</w:t>
      </w:r>
    </w:p>
    <w:p w:rsidR="00000000" w:rsidDel="00000000" w:rsidP="00000000" w:rsidRDefault="00000000" w:rsidRPr="00000000" w14:paraId="00000010">
      <w:pPr>
        <w:numPr>
          <w:ilvl w:val="1"/>
          <w:numId w:val="3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Проблемы с вовлечением сотрудников в процесс постоянного обучения и повышения квалификации.</w:t>
      </w:r>
    </w:p>
    <w:p w:rsidR="00000000" w:rsidDel="00000000" w:rsidP="00000000" w:rsidRDefault="00000000" w:rsidRPr="00000000" w14:paraId="00000011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Технические и организационные барьеры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Недостаточная техническая инфраструктура для проведения онлайн-курсов.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Проблемы с организацией учебного процесса в условиях удаленной работы.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numPr>
          <w:ilvl w:val="0"/>
          <w:numId w:val="1"/>
        </w:numPr>
        <w:spacing w:after="40" w:before="0" w:beforeAutospacing="0" w:lineRule="auto"/>
        <w:ind w:left="720" w:hanging="360"/>
        <w:rPr>
          <w:rFonts w:ascii="Roboto" w:cs="Roboto" w:eastAsia="Roboto" w:hAnsi="Roboto"/>
          <w:b w:val="1"/>
          <w:color w:val="000000"/>
          <w:sz w:val="28"/>
          <w:szCs w:val="28"/>
          <w:u w:val="none"/>
        </w:rPr>
      </w:pPr>
      <w:bookmarkStart w:colFirst="0" w:colLast="0" w:name="_dzn5j2cdy9b5" w:id="3"/>
      <w:bookmarkEnd w:id="3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Преимущества электронного обучения для разработчиков игр</w:t>
      </w:r>
    </w:p>
    <w:p w:rsidR="00000000" w:rsidDel="00000000" w:rsidP="00000000" w:rsidRDefault="00000000" w:rsidRPr="00000000" w14:paraId="00000015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Гибкость и доступность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6">
      <w:pPr>
        <w:numPr>
          <w:ilvl w:val="1"/>
          <w:numId w:val="4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Возможность обучения в удобное время и в удобном месте.</w:t>
      </w:r>
    </w:p>
    <w:p w:rsidR="00000000" w:rsidDel="00000000" w:rsidP="00000000" w:rsidRDefault="00000000" w:rsidRPr="00000000" w14:paraId="00000017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Доступ к учебным материалам 24/7, что особенно важно для разработчиков с гибким графиком работы.</w:t>
      </w:r>
    </w:p>
    <w:p w:rsidR="00000000" w:rsidDel="00000000" w:rsidP="00000000" w:rsidRDefault="00000000" w:rsidRPr="00000000" w14:paraId="00000018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Индивидуальный подход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9">
      <w:pPr>
        <w:numPr>
          <w:ilvl w:val="1"/>
          <w:numId w:val="4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Адаптация учебных программ под индивидуальные потребности каждого сотрудника.</w:t>
      </w:r>
    </w:p>
    <w:p w:rsidR="00000000" w:rsidDel="00000000" w:rsidP="00000000" w:rsidRDefault="00000000" w:rsidRPr="00000000" w14:paraId="0000001A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адаптивных технологий обучения, которые подстраиваются под уровень знаний и скорости усвоения материала.</w:t>
      </w:r>
    </w:p>
    <w:p w:rsidR="00000000" w:rsidDel="00000000" w:rsidP="00000000" w:rsidRDefault="00000000" w:rsidRPr="00000000" w14:paraId="0000001B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Интерактивные технологии и геймификация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1C">
      <w:pPr>
        <w:numPr>
          <w:ilvl w:val="1"/>
          <w:numId w:val="4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Применение игровых элементов в процессе обучения для повышения мотивации.</w:t>
      </w:r>
    </w:p>
    <w:p w:rsidR="00000000" w:rsidDel="00000000" w:rsidP="00000000" w:rsidRDefault="00000000" w:rsidRPr="00000000" w14:paraId="0000001D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Использование симуляторов и практических задач, приближенных к реальным проектам.</w:t>
      </w:r>
    </w:p>
    <w:p w:rsidR="00000000" w:rsidDel="00000000" w:rsidP="00000000" w:rsidRDefault="00000000" w:rsidRPr="00000000" w14:paraId="0000001E">
      <w:pPr>
        <w:pStyle w:val="Heading4"/>
        <w:keepNext w:val="0"/>
        <w:keepLines w:val="0"/>
        <w:numPr>
          <w:ilvl w:val="0"/>
          <w:numId w:val="1"/>
        </w:numPr>
        <w:spacing w:after="40" w:before="0" w:beforeAutospacing="0" w:lineRule="auto"/>
        <w:ind w:left="720" w:hanging="360"/>
        <w:rPr>
          <w:rFonts w:ascii="Roboto" w:cs="Roboto" w:eastAsia="Roboto" w:hAnsi="Roboto"/>
          <w:b w:val="1"/>
          <w:color w:val="000000"/>
          <w:sz w:val="28"/>
          <w:szCs w:val="28"/>
          <w:u w:val="none"/>
        </w:rPr>
      </w:pPr>
      <w:bookmarkStart w:colFirst="0" w:colLast="0" w:name="_5hpjss2xmxn4" w:id="4"/>
      <w:bookmarkEnd w:id="4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Практические рекомендации</w:t>
      </w:r>
    </w:p>
    <w:p w:rsidR="00000000" w:rsidDel="00000000" w:rsidP="00000000" w:rsidRDefault="00000000" w:rsidRPr="00000000" w14:paraId="0000001F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Разработка и внедрение специализированных курсов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0">
      <w:pPr>
        <w:numPr>
          <w:ilvl w:val="1"/>
          <w:numId w:val="5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программ обучения, сфокусированных на использовании нейросетей в игровом развитии.</w:t>
      </w:r>
    </w:p>
    <w:p w:rsidR="00000000" w:rsidDel="00000000" w:rsidP="00000000" w:rsidRDefault="00000000" w:rsidRPr="00000000" w14:paraId="00000021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Включение практических модулей и проектов, которые позволяют сотрудникам применять знания на практике.</w:t>
      </w:r>
    </w:p>
    <w:p w:rsidR="00000000" w:rsidDel="00000000" w:rsidP="00000000" w:rsidRDefault="00000000" w:rsidRPr="00000000" w14:paraId="00000022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Обучение и развитие преподавательского состава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3">
      <w:pPr>
        <w:numPr>
          <w:ilvl w:val="1"/>
          <w:numId w:val="5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Инвестирование в повышение квалификации внутренних тренеров и наставников.</w:t>
      </w:r>
    </w:p>
    <w:p w:rsidR="00000000" w:rsidDel="00000000" w:rsidP="00000000" w:rsidRDefault="00000000" w:rsidRPr="00000000" w14:paraId="00000024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Привлечение внешних экспертов для проведения мастер-классов и семинаров.</w:t>
      </w:r>
    </w:p>
    <w:p w:rsidR="00000000" w:rsidDel="00000000" w:rsidP="00000000" w:rsidRDefault="00000000" w:rsidRPr="00000000" w14:paraId="00000025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Мотивационные программы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6">
      <w:pPr>
        <w:numPr>
          <w:ilvl w:val="1"/>
          <w:numId w:val="5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Введение системы вознаграждений и поощрений за успешное прохождение курсов и применение знаний в работе.</w:t>
      </w:r>
    </w:p>
    <w:p w:rsidR="00000000" w:rsidDel="00000000" w:rsidP="00000000" w:rsidRDefault="00000000" w:rsidRPr="00000000" w14:paraId="00000027">
      <w:pPr>
        <w:numPr>
          <w:ilvl w:val="1"/>
          <w:numId w:val="5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Создание корпоративной культуры, ориентированной на постоянное обучение и развитие.</w:t>
      </w:r>
    </w:p>
    <w:p w:rsidR="00000000" w:rsidDel="00000000" w:rsidP="00000000" w:rsidRDefault="00000000" w:rsidRPr="00000000" w14:paraId="00000028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Техническая поддержка и инфраструктура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9">
      <w:pPr>
        <w:numPr>
          <w:ilvl w:val="1"/>
          <w:numId w:val="5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Обеспечение сотрудников необходимыми техническими средствами для участия в онлайн-курсах.</w:t>
      </w:r>
    </w:p>
    <w:p w:rsidR="00000000" w:rsidDel="00000000" w:rsidP="00000000" w:rsidRDefault="00000000" w:rsidRPr="00000000" w14:paraId="0000002A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Внедрение современных платформ для электронного обучения с поддержкой интерактивных и адаптивных технологий.</w:t>
      </w:r>
    </w:p>
    <w:p w:rsidR="00000000" w:rsidDel="00000000" w:rsidP="00000000" w:rsidRDefault="00000000" w:rsidRPr="00000000" w14:paraId="0000002B">
      <w:pPr>
        <w:pStyle w:val="Heading4"/>
        <w:keepNext w:val="0"/>
        <w:keepLines w:val="0"/>
        <w:numPr>
          <w:ilvl w:val="0"/>
          <w:numId w:val="1"/>
        </w:numPr>
        <w:spacing w:after="40" w:before="0" w:beforeAutospacing="0" w:lineRule="auto"/>
        <w:ind w:left="720" w:hanging="360"/>
        <w:rPr>
          <w:rFonts w:ascii="Roboto" w:cs="Roboto" w:eastAsia="Roboto" w:hAnsi="Roboto"/>
          <w:b w:val="1"/>
          <w:color w:val="000000"/>
          <w:sz w:val="28"/>
          <w:szCs w:val="28"/>
          <w:u w:val="none"/>
        </w:rPr>
      </w:pPr>
      <w:bookmarkStart w:colFirst="0" w:colLast="0" w:name="_mqi6svob2cq6" w:id="5"/>
      <w:bookmarkEnd w:id="5"/>
      <w:r w:rsidDel="00000000" w:rsidR="00000000" w:rsidRPr="00000000">
        <w:rPr>
          <w:rFonts w:ascii="Roboto" w:cs="Roboto" w:eastAsia="Roboto" w:hAnsi="Roboto"/>
          <w:b w:val="1"/>
          <w:color w:val="000000"/>
          <w:sz w:val="28"/>
          <w:szCs w:val="28"/>
          <w:rtl w:val="0"/>
        </w:rPr>
        <w:t xml:space="preserve">Заключение</w:t>
      </w:r>
    </w:p>
    <w:p w:rsidR="00000000" w:rsidDel="00000000" w:rsidP="00000000" w:rsidRDefault="00000000" w:rsidRPr="00000000" w14:paraId="0000002C">
      <w:pPr>
        <w:spacing w:after="240" w:before="240" w:lineRule="auto"/>
        <w:ind w:left="720" w:firstLine="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b w:val="1"/>
          <w:sz w:val="28"/>
          <w:szCs w:val="28"/>
          <w:rtl w:val="0"/>
        </w:rPr>
        <w:t xml:space="preserve">Перспективы и выводы</w:t>
      </w: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:</w:t>
      </w:r>
    </w:p>
    <w:p w:rsidR="00000000" w:rsidDel="00000000" w:rsidP="00000000" w:rsidRDefault="00000000" w:rsidRPr="00000000" w14:paraId="0000002D">
      <w:pPr>
        <w:numPr>
          <w:ilvl w:val="1"/>
          <w:numId w:val="2"/>
        </w:numPr>
        <w:spacing w:after="0" w:afterAutospacing="0" w:before="24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Корпоративное электронное обучение — ключевой фактор успешного внедрения новых технологий в разработку игр.</w:t>
      </w:r>
    </w:p>
    <w:p w:rsidR="00000000" w:rsidDel="00000000" w:rsidP="00000000" w:rsidRDefault="00000000" w:rsidRPr="00000000" w14:paraId="0000002E">
      <w:pPr>
        <w:numPr>
          <w:ilvl w:val="1"/>
          <w:numId w:val="2"/>
        </w:numPr>
        <w:spacing w:after="0" w:afterAutospacing="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Непрерывное обучение и развитие сотрудников как стратегическое преимущество компании.</w:t>
      </w:r>
    </w:p>
    <w:p w:rsidR="00000000" w:rsidDel="00000000" w:rsidP="00000000" w:rsidRDefault="00000000" w:rsidRPr="00000000" w14:paraId="0000002F">
      <w:pPr>
        <w:numPr>
          <w:ilvl w:val="1"/>
          <w:numId w:val="2"/>
        </w:numPr>
        <w:spacing w:after="240" w:before="0" w:beforeAutospacing="0" w:lineRule="auto"/>
        <w:ind w:left="1440" w:hanging="360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Важность системного подхода к решению проблем и реализации преимуществ электронного обучения.</w:t>
      </w:r>
    </w:p>
    <w:p w:rsidR="00000000" w:rsidDel="00000000" w:rsidP="00000000" w:rsidRDefault="00000000" w:rsidRPr="00000000" w14:paraId="00000030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Fonts w:ascii="Roboto" w:cs="Roboto" w:eastAsia="Roboto" w:hAnsi="Roboto"/>
          <w:sz w:val="28"/>
          <w:szCs w:val="28"/>
          <w:rtl w:val="0"/>
        </w:rPr>
        <w:t xml:space="preserve">Эти тезисы помогут структурировать выступление и затронуть ключевые аспекты корпоративного электронного обучения в контексте использования нейросетей в разработке игр.</w:t>
      </w:r>
    </w:p>
    <w:p w:rsidR="00000000" w:rsidDel="00000000" w:rsidP="00000000" w:rsidRDefault="00000000" w:rsidRPr="00000000" w14:paraId="00000032">
      <w:pPr>
        <w:rPr>
          <w:rFonts w:ascii="Roboto" w:cs="Roboto" w:eastAsia="Roboto" w:hAnsi="Roboto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3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6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9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u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