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-709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</w:rPr>
        <w:t xml:space="preserve">МИНИСТЕРСТВО НАУКИ И ВЫСШЕГО ОБРАЗОВАНИЯ </w:t>
      </w:r>
    </w:p>
    <w:p>
      <w:pPr>
        <w:pStyle w:val="Normal"/>
        <w:spacing w:lineRule="auto" w:line="240"/>
        <w:ind w:left="-709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</w:rPr>
        <w:t>РОССИЙСКОЙ ФЕДЕРАЦИИ</w:t>
      </w:r>
    </w:p>
    <w:p>
      <w:pPr>
        <w:pStyle w:val="Normal"/>
        <w:spacing w:lineRule="auto" w:line="240"/>
        <w:ind w:left="-709" w:firstLine="709"/>
        <w:jc w:val="center"/>
        <w:rPr>
          <w:rFonts w:ascii="Lazursky" w:hAnsi="Lazursky"/>
          <w:sz w:val="22"/>
          <w:szCs w:val="22"/>
        </w:rPr>
      </w:pPr>
      <w:r>
        <w:rPr>
          <w:rFonts w:ascii="Lazursky" w:hAnsi="Lazursky"/>
          <w:sz w:val="22"/>
          <w:szCs w:val="22"/>
        </w:rPr>
      </w:r>
    </w:p>
    <w:p>
      <w:pPr>
        <w:pStyle w:val="Normal"/>
        <w:spacing w:lineRule="auto" w:line="240"/>
        <w:ind w:left="-709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</w:rPr>
        <w:t>ФЕДЕРАЛЬНОЕ ГОСУДАРСТВЕННОЕ БЮДЖЕТНОЕ ОБРАЗОВАТЕЛЬНОЕ</w:t>
      </w:r>
    </w:p>
    <w:p>
      <w:pPr>
        <w:pStyle w:val="Normal"/>
        <w:spacing w:lineRule="auto" w:line="240"/>
        <w:ind w:left="-709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</w:rPr>
        <w:t>УЧРЕЖДЕНИЕ ВЫСШЕГО ОБРАЗОВАНИЯ</w:t>
      </w:r>
    </w:p>
    <w:p>
      <w:pPr>
        <w:pStyle w:val="Normal"/>
        <w:spacing w:lineRule="auto" w:line="240"/>
        <w:ind w:left="-709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</w:rPr>
        <w:t xml:space="preserve">«РОССИЙСКИЙ ГОСУДАРСТВЕННЫЙ </w:t>
      </w:r>
    </w:p>
    <w:p>
      <w:pPr>
        <w:pStyle w:val="Normal"/>
        <w:spacing w:lineRule="auto" w:line="240"/>
        <w:ind w:left="-709" w:firstLine="709"/>
        <w:jc w:val="center"/>
        <w:rPr>
          <w:sz w:val="22"/>
          <w:szCs w:val="22"/>
        </w:rPr>
      </w:pPr>
      <w:r>
        <w:rPr>
          <w:rFonts w:ascii="Lazursky" w:hAnsi="Lazursky"/>
          <w:sz w:val="22"/>
          <w:szCs w:val="22"/>
        </w:rPr>
        <w:t>ПЕДАГОГИЧЕСКИЙ УНИВЕРСИТЕТ им.</w:t>
      </w:r>
      <w:r>
        <w:rPr>
          <w:rFonts w:cs="Calibri" w:ascii="Lazursky" w:hAnsi="Lazursky"/>
          <w:sz w:val="22"/>
          <w:szCs w:val="22"/>
        </w:rPr>
        <w:t xml:space="preserve"> </w:t>
      </w:r>
      <w:r>
        <w:rPr>
          <w:rFonts w:cs="Lazursky" w:ascii="Lazursky" w:hAnsi="Lazursky"/>
          <w:sz w:val="22"/>
          <w:szCs w:val="22"/>
        </w:rPr>
        <w:t>А</w:t>
      </w:r>
      <w:r>
        <w:rPr>
          <w:rFonts w:ascii="Lazursky" w:hAnsi="Lazursky"/>
          <w:sz w:val="22"/>
          <w:szCs w:val="22"/>
        </w:rPr>
        <w:t>.</w:t>
      </w:r>
      <w:r>
        <w:rPr>
          <w:rFonts w:cs="Calibri" w:ascii="Lazursky" w:hAnsi="Lazursky"/>
          <w:sz w:val="22"/>
          <w:szCs w:val="22"/>
        </w:rPr>
        <w:t xml:space="preserve"> </w:t>
      </w:r>
      <w:r>
        <w:rPr>
          <w:rFonts w:cs="Lazursky" w:ascii="Lazursky" w:hAnsi="Lazursky"/>
          <w:sz w:val="22"/>
          <w:szCs w:val="22"/>
        </w:rPr>
        <w:t>И</w:t>
      </w:r>
      <w:r>
        <w:rPr>
          <w:rFonts w:ascii="Lazursky" w:hAnsi="Lazursky"/>
          <w:sz w:val="22"/>
          <w:szCs w:val="22"/>
        </w:rPr>
        <w:t>.</w:t>
      </w:r>
      <w:r>
        <w:rPr>
          <w:rFonts w:cs="Calibri" w:ascii="Lazursky" w:hAnsi="Lazursky"/>
          <w:sz w:val="22"/>
          <w:szCs w:val="22"/>
        </w:rPr>
        <w:t xml:space="preserve"> </w:t>
      </w:r>
      <w:r>
        <w:rPr>
          <w:rFonts w:cs="Lazursky" w:ascii="Lazursky" w:hAnsi="Lazursky"/>
          <w:sz w:val="22"/>
          <w:szCs w:val="22"/>
        </w:rPr>
        <w:t>ГЕР</w:t>
      </w:r>
      <w:r>
        <w:rPr>
          <w:rFonts w:ascii="Lazursky" w:hAnsi="Lazursky"/>
          <w:sz w:val="22"/>
          <w:szCs w:val="22"/>
        </w:rPr>
        <w:t>ЦЕНА»</w:t>
      </w:r>
    </w:p>
    <w:p>
      <w:pPr>
        <w:pStyle w:val="Normal"/>
        <w:spacing w:lineRule="auto" w:line="24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/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anchor behindDoc="0" distT="0" distB="0" distL="114300" distR="114300" simplePos="0" locked="0" layoutInCell="0" allowOverlap="1" relativeHeight="9">
            <wp:simplePos x="0" y="0"/>
            <wp:positionH relativeFrom="column">
              <wp:posOffset>2447290</wp:posOffset>
            </wp:positionH>
            <wp:positionV relativeFrom="paragraph">
              <wp:posOffset>172085</wp:posOffset>
            </wp:positionV>
            <wp:extent cx="1252220" cy="1305560"/>
            <wp:effectExtent l="0" t="0" r="0" b="0"/>
            <wp:wrapTopAndBottom/>
            <wp:docPr id="1" name="Рисунок 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1305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/>
        <w:jc w:val="center"/>
        <w:rPr>
          <w:sz w:val="18"/>
          <w:szCs w:val="20"/>
        </w:rPr>
      </w:pPr>
      <w:r>
        <w:rPr>
          <w:sz w:val="18"/>
          <w:szCs w:val="20"/>
        </w:rPr>
      </w:r>
    </w:p>
    <w:p>
      <w:pPr>
        <w:pStyle w:val="Normal"/>
        <w:ind w:left="-709" w:hanging="0"/>
        <w:jc w:val="center"/>
        <w:rPr/>
      </w:pPr>
      <w:r>
        <w:rPr>
          <w:sz w:val="24"/>
          <w:szCs w:val="24"/>
        </w:rPr>
        <w:t xml:space="preserve">Основная профессиональная образовательная программа </w:t>
      </w:r>
    </w:p>
    <w:p>
      <w:pPr>
        <w:pStyle w:val="Normal"/>
        <w:ind w:left="-709" w:hanging="0"/>
        <w:jc w:val="center"/>
        <w:rPr/>
      </w:pPr>
      <w:r>
        <w:rPr>
          <w:sz w:val="24"/>
          <w:szCs w:val="24"/>
        </w:rPr>
        <w:t>Направление подготовки 09.03.01 Информатика и вычислительная техника</w:t>
      </w:r>
    </w:p>
    <w:p>
      <w:pPr>
        <w:pStyle w:val="Normal"/>
        <w:ind w:left="-709" w:hanging="0"/>
        <w:jc w:val="center"/>
        <w:rPr/>
      </w:pPr>
      <w:r>
        <w:rPr>
          <w:sz w:val="24"/>
          <w:szCs w:val="24"/>
        </w:rPr>
        <w:t>Направленность (профиль) «Технологии разработки программного обеспечения»</w:t>
      </w:r>
    </w:p>
    <w:p>
      <w:pPr>
        <w:pStyle w:val="Normal"/>
        <w:ind w:left="-709" w:hanging="0"/>
        <w:jc w:val="center"/>
        <w:rPr/>
      </w:pPr>
      <w:r>
        <w:rPr>
          <w:sz w:val="24"/>
          <w:szCs w:val="24"/>
        </w:rPr>
        <w:t>форма обучения – очная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ind w:left="-709" w:firstLine="709"/>
        <w:jc w:val="center"/>
        <w:rPr>
          <w:szCs w:val="24"/>
        </w:rPr>
      </w:pPr>
      <w:r>
        <w:rPr>
          <w:b/>
          <w:szCs w:val="24"/>
        </w:rPr>
        <w:t>Выпускная квалификационная работа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794"/>
        <w:ind w:right="567" w:hanging="0"/>
        <w:jc w:val="center"/>
        <w:rPr>
          <w:sz w:val="26"/>
          <w:szCs w:val="26"/>
        </w:rPr>
      </w:pPr>
      <w:r>
        <w:rPr>
          <w:sz w:val="26"/>
          <w:szCs w:val="26"/>
        </w:rPr>
        <w:t>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Обучающегося 4 курса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Косыгина Кирилла Сергеевича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Научный руководитель: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Кандидат физ.-мат. наук, доцент</w:t>
      </w:r>
    </w:p>
    <w:p>
      <w:pPr>
        <w:pStyle w:val="Normal"/>
        <w:jc w:val="right"/>
        <w:rPr/>
      </w:pPr>
      <w:r>
        <w:rPr>
          <w:sz w:val="24"/>
          <w:szCs w:val="24"/>
        </w:rPr>
        <w:t>Жуков Николай Николаевич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Санкт-Петербург</w:t>
      </w:r>
    </w:p>
    <w:p>
      <w:pPr>
        <w:pStyle w:val="Normal"/>
        <w:ind w:left="-567" w:firstLine="709"/>
        <w:jc w:val="center"/>
        <w:rPr/>
      </w:pPr>
      <w:r>
        <w:rPr/>
        <w:t>2022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itredetabledesmatires"/>
            <w:spacing w:lineRule="auto" w:line="360" w:before="0" w:after="0"/>
            <w:rPr/>
          </w:pPr>
          <w:r>
            <w:br w:type="page"/>
          </w:r>
          <w:r>
            <w:rPr>
              <w:rFonts w:eastAsia="Arial" w:cs="Times New Roman" w:ascii="Times New Roman" w:hAnsi="Times New Roman"/>
              <w:color w:val="auto"/>
              <w:sz w:val="28"/>
              <w:szCs w:val="28"/>
            </w:rPr>
            <w:t>Содержание</w:t>
          </w:r>
        </w:p>
        <w:p>
          <w:pPr>
            <w:pStyle w:val="Tabledesmatiresniveau1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r>
            <w:fldChar w:fldCharType="begin"/>
          </w:r>
          <w:r>
            <w:rPr>
              <w:webHidden/>
              <w:rStyle w:val="Sautdindex"/>
            </w:rPr>
            <w:instrText xml:space="preserve"> TOC \z \o "1-3" \u \h</w:instrText>
          </w:r>
          <w:r>
            <w:rPr>
              <w:webHidden/>
              <w:rStyle w:val="Sautdindex"/>
            </w:rPr>
            <w:fldChar w:fldCharType="separate"/>
          </w:r>
          <w:hyperlink w:anchor="_Toc104400233">
            <w:r>
              <w:rPr>
                <w:webHidden/>
                <w:rStyle w:val="Sautdindex"/>
              </w:rPr>
              <w:t>ВВЕДЕНИЕ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_Toc104400233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34">
            <w:r>
              <w:rPr>
                <w:webHidden/>
                <w:rStyle w:val="Sautdindex"/>
              </w:rPr>
              <w:t>1 ПРОБЛЕМАТИКА РАЗРАБОТКИ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_Toc104400234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35">
            <w:r>
              <w:rPr>
                <w:webHidden/>
                <w:rStyle w:val="Sautdindex"/>
              </w:rPr>
              <w:t>1.1 Определение и сущность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_Toc104400235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36">
            <w:r>
              <w:rPr>
                <w:webHidden/>
                <w:rStyle w:val="Sautdindex"/>
              </w:rPr>
              <w:t>1.2 Особенности использования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_Toc104400236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37">
            <w:r>
              <w:rPr>
                <w:webHidden/>
                <w:rStyle w:val="Sautdindex"/>
              </w:rPr>
              <w:t>1.2.1 Общие требования к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_Toc104400237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38">
            <w:r>
              <w:rPr>
                <w:webHidden/>
                <w:rStyle w:val="Sautdindex"/>
              </w:rPr>
              <w:t>1.2.2 Требования к представлению учебного материала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_Toc104400238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39">
            <w:r>
              <w:rPr>
                <w:webHidden/>
                <w:rStyle w:val="Sautdindex"/>
              </w:rPr>
              <w:t>1.3 Обзор инструментов для создания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_Toc104400239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0">
            <w:r>
              <w:rPr>
                <w:webHidden/>
                <w:rStyle w:val="Sautdindex"/>
              </w:rPr>
              <w:t>1.3.1 LMS Moodle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_Toc104400240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1">
            <w:r>
              <w:rPr>
                <w:webHidden/>
                <w:rStyle w:val="Sautdindex"/>
              </w:rPr>
              <w:t>1.3.2 CMS-базированные решения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_Toc104400241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2">
            <w:r>
              <w:rPr>
                <w:webHidden/>
                <w:rStyle w:val="Sautdindex"/>
              </w:rPr>
              <w:t>1.3.3 Прочие инструменты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_Toc104400242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3">
            <w:r>
              <w:rPr>
                <w:webHidden/>
                <w:rStyle w:val="Sautdindex"/>
              </w:rPr>
              <w:t>1.4 Этапы разработки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_Toc104400243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4">
            <w:r>
              <w:rPr>
                <w:webHidden/>
                <w:rStyle w:val="Sautdindex"/>
              </w:rPr>
              <w:t>2 РАЗРАБОТКА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_Toc104400244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5">
            <w:r>
              <w:rPr>
                <w:webHidden/>
                <w:rStyle w:val="Sautdindex"/>
              </w:rPr>
              <w:t>2.1 Адаптация требований к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_Toc104400245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6">
            <w:r>
              <w:rPr>
                <w:webHidden/>
                <w:rStyle w:val="Sautdindex"/>
              </w:rPr>
              <w:t>2.2 Проектирование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_Toc104400246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7">
            <w:r>
              <w:rPr>
                <w:webHidden/>
                <w:rStyle w:val="Sautdindex"/>
              </w:rPr>
              <w:t>2.2.1 Структура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_Toc104400247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8">
            <w:r>
              <w:rPr>
                <w:webHidden/>
                <w:rStyle w:val="Sautdindex"/>
              </w:rPr>
              <w:t>2.2.2 Выбор технологий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_Toc104400248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24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49">
            <w:r>
              <w:rPr>
                <w:webHidden/>
                <w:rStyle w:val="Sautdindex"/>
              </w:rPr>
              <w:t>2.2.3 Структура программного проекта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_Toc104400249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0">
            <w:r>
              <w:rPr>
                <w:webHidden/>
                <w:rStyle w:val="Sautdindex"/>
              </w:rPr>
              <w:t>2.3 Создание ЭОР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_Toc104400250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1">
            <w:r>
              <w:rPr>
                <w:webHidden/>
                <w:rStyle w:val="Sautdindex"/>
              </w:rPr>
              <w:t>2.3.1 Подготовка рабочего окружения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_Toc104400251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2">
            <w:r>
              <w:rPr>
                <w:webHidden/>
                <w:rStyle w:val="Sautdindex"/>
              </w:rPr>
              <w:t>2.3.2 Наполнение ресурса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_Toc104400252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3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3">
            <w:r>
              <w:rPr>
                <w:webHidden/>
                <w:rStyle w:val="Sautdindex"/>
              </w:rPr>
              <w:t>2.3.3 Введение стимулирующих элементов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_Toc104400253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2"/>
            <w:tabs>
              <w:tab w:val="clear" w:pos="709"/>
              <w:tab w:val="right" w:pos="9911" w:leader="dot"/>
            </w:tabs>
            <w:spacing w:before="0" w:after="0"/>
            <w:ind w:left="0" w:hanging="0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4">
            <w:r>
              <w:rPr>
                <w:webHidden/>
                <w:rStyle w:val="Sautdindex"/>
              </w:rPr>
              <w:t>2.4 Контейнеризация ресурса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_Toc104400254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5">
            <w:r>
              <w:rPr>
                <w:webHidden/>
                <w:rStyle w:val="Sautdindex"/>
              </w:rPr>
              <w:t>ЗАКЛЮЧЕНИЕ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_Toc104400255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34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hyperlink w:anchor="_Toc104400256">
            <w:r>
              <w:rPr>
                <w:webHidden/>
                <w:rStyle w:val="Sautdindex"/>
              </w:rPr>
              <w:t>СПИСОК ЛИТЕРАТУРЫ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_Toc104400256 \h</w:instrText>
            </w:r>
            <w:r>
              <w:rPr>
                <w:webHidden/>
              </w:rPr>
              <w:fldChar w:fldCharType="separate"/>
            </w:r>
            <w:r>
              <w:rPr>
                <w:rStyle w:val="Sautdindex"/>
                <w:vanish w:val="false"/>
              </w:rPr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abledesmatiresniveau1"/>
            <w:rPr>
              <w:rFonts w:ascii="Cambria" w:hAnsi="Cambria" w:eastAsia="" w:cs="" w:asciiTheme="minorHAnsi" w:cstheme="minorBidi" w:eastAsiaTheme="minorEastAsia" w:hAnsiTheme="minorHAnsi"/>
              <w:sz w:val="22"/>
              <w:szCs w:val="22"/>
            </w:rPr>
          </w:pPr>
          <w:r>
            <w:rPr>
              <w:color w:val="auto"/>
              <w:u w:val="none"/>
            </w:rPr>
            <w:t>ПРИЛОЖЕНИЯ</w:t>
          </w:r>
        </w:p>
        <w:p>
          <w:pPr>
            <w:pStyle w:val="Normal"/>
            <w:ind w:hanging="0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pStyle w:val="Normal"/>
        <w:rPr/>
      </w:pPr>
      <w:r>
        <w:rPr/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0" w:name="_Toc104400233"/>
      <w:r>
        <w:rPr>
          <w:sz w:val="28"/>
          <w:szCs w:val="28"/>
        </w:rPr>
        <w:t>ВВЕДЕНИЕ</w:t>
      </w:r>
      <w:bookmarkEnd w:id="0"/>
    </w:p>
    <w:p>
      <w:pPr>
        <w:pStyle w:val="Normal"/>
        <w:rPr/>
      </w:pPr>
      <w:r>
        <w:rPr/>
        <w:t xml:space="preserve">Непрерывная интеграция и непрерывная доставка (англ. </w:t>
      </w:r>
      <w:r>
        <w:rPr>
          <w:highlight w:val="white"/>
        </w:rPr>
        <w:t>Continuous Integration</w:t>
      </w:r>
      <w:r>
        <w:rPr/>
        <w:t xml:space="preserve"> и </w:t>
      </w:r>
      <w:r>
        <w:rPr>
          <w:highlight w:val="white"/>
        </w:rPr>
        <w:t xml:space="preserve">Continuous </w:t>
      </w:r>
      <w:r>
        <w:rPr/>
        <w:t>Delivery или CI/CD) — это практики разработки программного обеспечения, ориентированные на автоматизацию сборки и выпуска обновлений программного продукта в целях повышения его качества. Практики CI/CD получили настолько широкое распространение, что к разработчикам программного обеспечения сегодня выдвигаются новые требования: начинающие разработчики должны владеть основами CI/CD и уметь поддерживать существующие пайплайны, а более опытные разработчики должны уметь самостоятельно внедрять CI/CD в циклы разработки ПО [14]. Отсюда необходимость в учебных материалах по этой теме как для первичного освоения материала, так и для повышения квалификации. Учитывая специфику и навыки целевой аудитории (начинающие специалисты в области информационных технологий), можно утверждать, что электронный образовательный ресурс (ЭОР) — это наиболее подходящий вид образовательного ресурса в данной ситуации.</w:t>
      </w:r>
    </w:p>
    <w:p>
      <w:pPr>
        <w:pStyle w:val="Normal"/>
        <w:rPr/>
      </w:pPr>
      <w:r>
        <w:rPr/>
        <w:t xml:space="preserve">Следовательно, объект исследования данной работы — </w:t>
      </w:r>
      <w:r>
        <w:rPr>
          <w:color w:val="000000"/>
        </w:rPr>
        <w:t>применение компьютерных и цифровых технологий в обучении</w:t>
      </w:r>
      <w:r>
        <w:rPr/>
        <w:t>.</w:t>
      </w:r>
    </w:p>
    <w:p>
      <w:pPr>
        <w:pStyle w:val="Normal"/>
        <w:rPr/>
      </w:pPr>
      <w:r>
        <w:rPr/>
        <w:t>Предмет исследования — разработка электронного образовательного ресурса практической направленности, предназначенного для изучения практик CI/CD в среде GitHub.</w:t>
      </w:r>
    </w:p>
    <w:p>
      <w:pPr>
        <w:pStyle w:val="Normal"/>
        <w:rPr/>
      </w:pPr>
      <w:r>
        <w:rPr/>
        <w:t>Целью данной работы является разработка электронного образовательного ресурса «Использование GitHub как системы для непрерывной интеграции и развёртывания современного веб-проекта».</w:t>
      </w:r>
    </w:p>
    <w:p>
      <w:pPr>
        <w:pStyle w:val="Normal"/>
        <w:rPr/>
      </w:pPr>
      <w:r>
        <w:rPr/>
        <w:t>Для достижения поставленной цели необходимо решить следующие задачи: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 w:val="false"/>
        <w:rPr/>
      </w:pPr>
      <w:r>
        <w:rPr/>
        <w:t>Изучить сущность ЭОР и особенности их разработки.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 w:val="false"/>
        <w:rPr/>
      </w:pPr>
      <w:r>
        <w:rPr/>
        <w:t>Провести анализ инструментов, предназначенных для разработки ЭОР.</w:t>
      </w:r>
    </w:p>
    <w:p>
      <w:pPr>
        <w:pStyle w:val="ListParagraph"/>
        <w:numPr>
          <w:ilvl w:val="0"/>
          <w:numId w:val="1"/>
        </w:numPr>
        <w:spacing w:before="0" w:after="0"/>
        <w:ind w:left="0" w:firstLine="709"/>
        <w:contextualSpacing w:val="false"/>
        <w:rPr/>
      </w:pPr>
      <w:r>
        <w:rPr/>
        <w:t xml:space="preserve">Адаптировать требования к разрабатываемому ЭОР с учётом особенностей изучения практик </w:t>
      </w:r>
      <w:r>
        <w:rPr>
          <w:lang w:val="en-US"/>
        </w:rPr>
        <w:t>CI</w:t>
      </w:r>
      <w:r>
        <w:rPr/>
        <w:t>/</w:t>
      </w:r>
      <w:r>
        <w:rPr>
          <w:lang w:val="en-US"/>
        </w:rPr>
        <w:t>CD</w:t>
      </w:r>
      <w:r>
        <w:rPr/>
        <w:t>.</w:t>
      </w:r>
    </w:p>
    <w:p>
      <w:pPr>
        <w:pStyle w:val="Normal"/>
        <w:numPr>
          <w:ilvl w:val="0"/>
          <w:numId w:val="1"/>
        </w:numPr>
        <w:ind w:left="0" w:firstLine="709"/>
        <w:rPr/>
      </w:pPr>
      <w:r>
        <w:rPr/>
        <w:t>Спроектировать ЭОР «Использование GitHub как системы для непрерывной интеграции и развёртывания современного веб-проекта».</w:t>
      </w:r>
    </w:p>
    <w:p>
      <w:pPr>
        <w:pStyle w:val="Normal"/>
        <w:numPr>
          <w:ilvl w:val="0"/>
          <w:numId w:val="1"/>
        </w:numPr>
        <w:ind w:left="0" w:firstLine="709"/>
        <w:rPr/>
      </w:pPr>
      <w:r>
        <w:rPr/>
        <w:t>Создать ЭОР в соответствии с разработанным планом.</w:t>
      </w:r>
    </w:p>
    <w:p>
      <w:pPr>
        <w:pStyle w:val="Normal"/>
        <w:rPr/>
      </w:pPr>
      <w:r>
        <w:rPr/>
        <w:t>В работе выдвигается следующая гипотеза: возможно разработать электронный образовательный ресурс практической направленности «Использование GitHub как системы для непрерывной интеграции и развёртывания современного веб-проекта».</w:t>
      </w:r>
    </w:p>
    <w:p>
      <w:pPr>
        <w:pStyle w:val="Normal"/>
        <w:rPr/>
      </w:pPr>
      <w:r>
        <w:rPr/>
        <w:t>При проведении исследования применяются следующие методы научного исследования: анализ, синтез, дедуктивный и индуктивный методы, наблюдение, сравнение, абстрагирование.</w:t>
      </w:r>
    </w:p>
    <w:p>
      <w:pPr>
        <w:pStyle w:val="Normal"/>
        <w:rPr/>
      </w:pPr>
      <w:r>
        <w:rPr/>
        <w:t>Теоретическая значимость проводимого исследования заключается в том, что при разработке электронного образовательного ресурса будут рассмотрены и обобщены теоретические аспекты разработки подобных ресурсов: будут изучены основные требования к ЭОР, методологии адаптации под специфические требования и типовые инструменты разработки ЭОР. Практическая значимость исследования состоит в том, что разработанный ресурс может быть использован учащимися для освоения практик CI/CD или применён при разработке других учебных материалов.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1" w:name="_Toc104400234"/>
      <w:r>
        <w:rPr>
          <w:sz w:val="28"/>
          <w:szCs w:val="28"/>
        </w:rPr>
        <w:t>1 ПРОБЛЕМАТИКА РАЗРАБОТКИ ЭОР</w:t>
      </w:r>
      <w:bookmarkEnd w:id="1"/>
    </w:p>
    <w:p>
      <w:pPr>
        <w:pStyle w:val="Normal"/>
        <w:rPr/>
      </w:pPr>
      <w:r>
        <w:rPr>
          <w:highlight w:val="white"/>
        </w:rPr>
        <w:t>Информатизация образовательного процесса является одной из целей современного российского образования [14]</w:t>
      </w:r>
      <w:r>
        <w:rPr/>
        <w:t>.</w:t>
      </w:r>
    </w:p>
    <w:p>
      <w:pPr>
        <w:pStyle w:val="Normal"/>
        <w:rPr/>
      </w:pPr>
      <w:r>
        <w:rPr/>
        <w:t>Современные преподаватели должны уделять особое внимание информационно–коммуникационным технологиям, потому что современные технологии способствуют оптимизации учебного процесса.</w:t>
      </w:r>
    </w:p>
    <w:p>
      <w:pPr>
        <w:pStyle w:val="Normal"/>
        <w:rPr/>
      </w:pPr>
      <w:r>
        <w:rPr/>
        <w:t>Применяя ЭОР, педагог имеет большую свободу действий и может высвободить себя от комплекса рутинных задач, делегируя их вычислительной машине, например, промежуточный контроль можно осуществлять в виде автоматизированных тестов. Это позволяет педагогу привнести новшества в образовательный процесс, индивидуализировать его и повысить степень информатизации общества [10]. С другой стороны, ЭОР предоставляет учащимся дополнительные возможности, в том числе, повышающие инклюзивность. В исследованиях отмечается, что взаимодействие пользователя с учебным материалом является одним из главных преимуществ ЭОР [13]. Следовательно внедрение ЭОР является одной из стратегических задач образования, а степень интерактивность и вовлеченности пользователя определяет качество ЭОР.</w:t>
      </w:r>
    </w:p>
    <w:p>
      <w:pPr>
        <w:pStyle w:val="Titre2"/>
        <w:spacing w:before="451" w:after="451"/>
        <w:rPr>
          <w:sz w:val="28"/>
          <w:szCs w:val="28"/>
        </w:rPr>
      </w:pPr>
      <w:bookmarkStart w:id="2" w:name="_Toc104400235"/>
      <w:r>
        <w:rPr>
          <w:sz w:val="28"/>
          <w:szCs w:val="28"/>
        </w:rPr>
        <w:t>1.1 Определение и сущность ЭОР</w:t>
      </w:r>
      <w:bookmarkEnd w:id="2"/>
    </w:p>
    <w:p>
      <w:pPr>
        <w:pStyle w:val="Normal"/>
        <w:rPr/>
      </w:pPr>
      <w:r>
        <w:rPr/>
        <w:t xml:space="preserve">Электронный образовательный ресурс (ЭОР) – это учебные материалы, для воспроизведения которых используются электронные устройства. Стоит отметить, что в сети Интернет также применяется понятие «цифровые образовательные ресурсы» (ЦОР), которым обозначают оцифрованные версии других ресурсов, например, фотографии, отсканированный текст учебника и т. п. </w:t>
      </w:r>
      <w:r>
        <w:rPr>
          <w:highlight w:val="white"/>
        </w:rPr>
        <w:t>В данной работе автор следует  ГОСТ 7.23-2001 и включает в понятия «электронные» и ЭОР термины «цифровые» и ЦОР, соответственно [4].</w:t>
      </w:r>
    </w:p>
    <w:p>
      <w:pPr>
        <w:pStyle w:val="Normal"/>
        <w:rPr/>
      </w:pPr>
      <w:r>
        <w:rPr>
          <w:highlight w:val="white"/>
        </w:rPr>
        <w:t>Структура, предметное содержание, методы и средства разработки и применения ЭОР определяются его функциональным назначением и спецификой применения в конкретных системах. ЭОР, прошедший редакционно-издательскую обработку, имеющий выходные сведения и предназначенный для распространения в неизменном виде, является электронным изданием. Термин «Электронные образовательные ресурсы» (ЭОР) объединяет весь спектр средств обучения, которые разработаны и воспроизводятся на базе компьютерных технологий.</w:t>
      </w:r>
    </w:p>
    <w:p>
      <w:pPr>
        <w:pStyle w:val="Normal"/>
        <w:rPr/>
      </w:pPr>
      <w:r>
        <w:rPr/>
        <w:t>ЭОР может быть представлен в трёх формах [3].</w:t>
      </w:r>
    </w:p>
    <w:p>
      <w:pPr>
        <w:pStyle w:val="Normal"/>
        <w:rPr/>
      </w:pPr>
      <w:r>
        <w:rPr/>
        <w:t>1) Текстографические ЭОР. Ресурсы, причисляемые к данной форме, содержат исключительно текст и изображения. В таких ресурсах отсутствуют любые формы навигации по материалам, отличные от оглавления.</w:t>
      </w:r>
    </w:p>
    <w:p>
      <w:pPr>
        <w:pStyle w:val="Normal"/>
        <w:rPr/>
      </w:pPr>
      <w:r>
        <w:rPr/>
        <w:t>2) Текстографические ЭОР с навигацией по тексту. Ресурсы, относимые к данной форме, также содержат исключительно текст и изображения, но предоставляют дополнительные возможности навигации по материалам: интерактивные подсказки, пояснения, поисковую систему и т.п.</w:t>
      </w:r>
    </w:p>
    <w:p>
      <w:pPr>
        <w:pStyle w:val="Normal"/>
        <w:rPr/>
      </w:pPr>
      <w:r>
        <w:rPr/>
        <w:t>3) ЭОР, представленные в виде визуального или звукового материала: фильмы, анимации, аудиозаписи, музыкальные композиции и т. п. В отличии от двух предыдущих форм, такие ресурсы невозможно представить в полиграфическом издании.</w:t>
      </w:r>
    </w:p>
    <w:p>
      <w:pPr>
        <w:pStyle w:val="Titre2"/>
        <w:spacing w:before="451" w:after="451"/>
        <w:rPr>
          <w:sz w:val="28"/>
          <w:szCs w:val="28"/>
        </w:rPr>
      </w:pPr>
      <w:bookmarkStart w:id="3" w:name="_Toc104400236"/>
      <w:r>
        <w:rPr>
          <w:sz w:val="28"/>
          <w:szCs w:val="28"/>
        </w:rPr>
        <w:t>1.2 Особенности использования ЭОР</w:t>
      </w:r>
      <w:bookmarkEnd w:id="3"/>
    </w:p>
    <w:p>
      <w:pPr>
        <w:pStyle w:val="Normal"/>
        <w:rPr/>
      </w:pPr>
      <w:r>
        <w:rPr/>
        <w:t>Применение компьютерных технологий в процессе обучения позволяет делегировать часть задач, возлагаемых на педагога, машине и, таким образом, высвободить человеческие ресурсы. В некоторых ситуациях, например, в условиях дистанционного обучения, не прибегая к современных технологиям, осуществлять обучение невозможно вовсе.</w:t>
      </w:r>
    </w:p>
    <w:p>
      <w:pPr>
        <w:pStyle w:val="Normal"/>
        <w:rPr/>
      </w:pPr>
      <w:r>
        <w:rPr/>
        <w:t>ЭОР позволяют легко решать задачи по приведению учебного процесса к стандартам ФГОС:</w:t>
      </w:r>
    </w:p>
    <w:p>
      <w:pPr>
        <w:pStyle w:val="Normal"/>
        <w:rPr/>
      </w:pPr>
      <w:r>
        <w:rPr/>
        <w:t>Электронные средства обучения предоставляют больше возможностей для наглядного изучения предмета. Комбинированные текст и графика эффективнее усваиваются мозгом; так исследования утверждают, что правильно составленное изображение (не содержащее текста) может нести смысловую нагрузку, эквивалентную тысяче слов [15].</w:t>
      </w:r>
    </w:p>
    <w:p>
      <w:pPr>
        <w:pStyle w:val="Normal"/>
        <w:rPr/>
      </w:pPr>
      <w:r>
        <w:rPr/>
        <w:t>В ЭОР можно легко внедрить элементы геймификации, повысив, таким образом, заинтересованность учащихся.</w:t>
      </w:r>
    </w:p>
    <w:p>
      <w:pPr>
        <w:pStyle w:val="Normal"/>
        <w:rPr/>
      </w:pPr>
      <w:r>
        <w:rPr/>
        <w:t>Автоматизированная система проверки и контроля знаний также помогает учащимся лучше усваивать материал. С другой стороны, педагоги могут строить гибкие индивидуальные образовательные программы, используя результаты контроля.</w:t>
      </w:r>
    </w:p>
    <w:p>
      <w:pPr>
        <w:pStyle w:val="Normal"/>
        <w:rPr/>
      </w:pPr>
      <w:r>
        <w:rPr/>
        <w:t>Помимо этого, нельзя не отметить, что ЭОР хранится (как и прочая цифровая информация) в крайне компактной и надёжной форме: ресурс всегда можно скопировать или исправить.</w:t>
      </w:r>
    </w:p>
    <w:p>
      <w:pPr>
        <w:pStyle w:val="Normal"/>
        <w:rPr/>
      </w:pPr>
      <w:r>
        <w:rPr/>
        <w:t>Важно отметить, что применение учащимися в ходе обучения таких программам, как PowerPoint, Notepad, Scribus и т.п., не является обращением к ЭОР, потому что в таком случае учащийся обращается к служебной компьютерной программе для выполнения определённых задач, а не для проведения исследования.</w:t>
      </w:r>
    </w:p>
    <w:p>
      <w:pPr>
        <w:pStyle w:val="Titre3"/>
        <w:spacing w:before="451" w:after="451"/>
        <w:rPr/>
      </w:pPr>
      <w:bookmarkStart w:id="4" w:name="_Toc104400237"/>
      <w:r>
        <w:rPr>
          <w:color w:val="auto"/>
        </w:rPr>
        <w:t>1.2.1 Общие требования к ЭОР</w:t>
      </w:r>
      <w:bookmarkEnd w:id="4"/>
    </w:p>
    <w:p>
      <w:pPr>
        <w:pStyle w:val="Normal"/>
        <w:rPr/>
      </w:pPr>
      <w:r>
        <w:rPr>
          <w:highlight w:val="white"/>
        </w:rPr>
        <w:t>Качество ЭОР — это степень соответствия совокупности характеристик, присущих ЭОР, требованиям.</w:t>
      </w:r>
    </w:p>
    <w:p>
      <w:pPr>
        <w:pStyle w:val="Normal"/>
        <w:rPr/>
      </w:pPr>
      <w:r>
        <w:rPr/>
        <w:t>В соответствии с ГОСТ Р 52653-2006 ЭОР должен включать в себя образовательный контент, программные компоненты и метаданные.</w:t>
      </w:r>
    </w:p>
    <w:p>
      <w:pPr>
        <w:pStyle w:val="Normal"/>
        <w:rPr/>
      </w:pPr>
      <w:r>
        <w:rPr/>
        <w:t>Образовательный контент – это организованная предметная информация, используемая в образовательном процессе.</w:t>
      </w:r>
    </w:p>
    <w:p>
      <w:pPr>
        <w:pStyle w:val="Normal"/>
        <w:rPr/>
      </w:pPr>
      <w:r>
        <w:rPr/>
        <w:t>Программные компоненты реализуют интерактивный режим работы пользователя с контентом.</w:t>
      </w:r>
    </w:p>
    <w:p>
      <w:pPr>
        <w:pStyle w:val="Normal"/>
        <w:rPr/>
      </w:pPr>
      <w:r>
        <w:rPr/>
        <w:t>Метаданные – это структурированные данные, предназначенные для описания характеристик ЭОР.</w:t>
      </w:r>
    </w:p>
    <w:p>
      <w:pPr>
        <w:pStyle w:val="Normal"/>
        <w:rPr/>
      </w:pPr>
      <w:r>
        <w:rPr/>
        <w:t>Перед этапом создания ЭОР требуется разработать сценарный план.</w:t>
      </w:r>
    </w:p>
    <w:p>
      <w:pPr>
        <w:pStyle w:val="Titre3"/>
        <w:spacing w:before="451" w:after="451"/>
        <w:rPr/>
      </w:pPr>
      <w:bookmarkStart w:id="5" w:name="_Toc104400238"/>
      <w:r>
        <w:rPr>
          <w:color w:val="auto"/>
        </w:rPr>
        <w:t>1.2.2 Требования к представлению учебного материала</w:t>
      </w:r>
      <w:bookmarkEnd w:id="5"/>
    </w:p>
    <w:p>
      <w:pPr>
        <w:pStyle w:val="Normal"/>
        <w:rPr/>
      </w:pPr>
      <w:r>
        <w:rPr/>
        <w:t>При оформлении ЭОР необходимо придерживаться следующих правил, обеспечивающий высокое качество разрабатываемого ресурса [5]: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Единый стиль оформления контента в рамках ЭОР.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Удобство работы с оглавлением ЭОР, словарём, поисковыми системами и т. п.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Представление текстового учебного материала должно быть предельно лаконично.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Оформление не должно отвлекать пользователя от содержательной составляющей, однако должно качественно предоставлять все необходимые средства управления.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Обоснованность применения мультимедиа и графической информации.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Рациональное использование пространства визуальных компонентов.</w:t>
      </w:r>
    </w:p>
    <w:p>
      <w:pPr>
        <w:pStyle w:val="ListParagraph"/>
        <w:numPr>
          <w:ilvl w:val="0"/>
          <w:numId w:val="2"/>
        </w:numPr>
        <w:spacing w:before="0" w:after="0"/>
        <w:ind w:left="0" w:firstLine="709"/>
        <w:contextualSpacing w:val="false"/>
        <w:rPr/>
      </w:pPr>
      <w:r>
        <w:rPr/>
        <w:t>Интерфейс должен быть дружелюбным (наличие справки, «всплывающих» подсказок и т.п.).</w:t>
      </w:r>
    </w:p>
    <w:p>
      <w:pPr>
        <w:pStyle w:val="Normal"/>
        <w:rPr/>
      </w:pPr>
      <w:r>
        <w:rPr/>
        <w:t>Также электронный образовательный ресурс может содержать интерактивные элементы. Выделяют четыре уровня интерактивности:</w:t>
      </w:r>
    </w:p>
    <w:p>
      <w:pPr>
        <w:pStyle w:val="Normal"/>
        <w:rPr/>
      </w:pPr>
      <w:r>
        <w:rPr/>
        <w:t>1. Первый уровень интерактивности: условно-пассивные формы. Ресурс не предоставляет никаких интерактивных элементов. Например, пользователь читает текст, просматривает изображения и видео, прослушивает аудиозаписи.</w:t>
      </w:r>
    </w:p>
    <w:p>
      <w:pPr>
        <w:pStyle w:val="Normal"/>
        <w:rPr/>
      </w:pPr>
      <w:r>
        <w:rPr/>
        <w:t>2. Второй уровень интерактивности: активные формы. Ресурс предоставляет элементарные интерактивные элементы (нажатие на клавиши или клики мыши). На данном уровне можно встретить навигацию по гиперссылкам, викторины и задания с выбором ответа, различные просмотрщики сложных объектов (трёхмерных объектов, больших изображений и т.п.).</w:t>
      </w:r>
    </w:p>
    <w:p>
      <w:pPr>
        <w:pStyle w:val="Normal"/>
        <w:rPr/>
      </w:pPr>
      <w:r>
        <w:rPr/>
        <w:t>3. Третий уровень интерактивности: деятельностные формы. Учащиеся взаимодействуют с учебными объектами по заранее определённым алгоритмам; при этом производится оценка ошибок и отклонений. Этот вид форм предоставляет учащимся большую степень свободы. Учащиеся самостоятельно выбирают направление деятельности; но в результате они должны прийти к единственно верному решению, т.е. сценарий учебной задачи определён заранее. К деятельностным формам можно отнести: тестирование с обратной связью, симуляторы процессов, позволяющие менять параметры и т. п.</w:t>
      </w:r>
    </w:p>
    <w:p>
      <w:pPr>
        <w:pStyle w:val="Normal"/>
        <w:rPr/>
      </w:pPr>
      <w:r>
        <w:rPr/>
        <w:t>4. Четвёртый уровень интерактивности: исследовательские формы. Учащиеся выступают в роли источника событий. События вызывают изменения в свойствах изучаемого предмета. Главное отличие форм четвёртого уровня от рассмотренных ранее заключается в том, что состояния изучаемых объектов и процессов четвёртой формы не могут быть определены заранее.</w:t>
      </w:r>
    </w:p>
    <w:p>
      <w:pPr>
        <w:pStyle w:val="Normal"/>
        <w:rPr/>
      </w:pPr>
      <w:r>
        <w:rPr/>
        <w:t>Таким образом, формы первого, второго и третьего уровней являются «детерминированными»: все варианты действий пользователя заранее предусмотрены, существует только одно решение, которое считается верным. Формы четвёртого уровня − «недетерминированные»: при создании электронного образовательного ресурса определены только исходные элементы содержимого и параметры процессов. В этом случае определить или предугадать все действия или ошибки пользователя невозможно.</w:t>
      </w:r>
    </w:p>
    <w:p>
      <w:pPr>
        <w:pStyle w:val="Normal"/>
        <w:rPr/>
      </w:pPr>
      <w:r>
        <w:rPr/>
        <w:t xml:space="preserve"> </w:t>
      </w:r>
      <w:r>
        <w:rPr/>
        <w:t>Уровень интерактивности ресурса определяется применяемыми формами взаимодействия учащегося с образовательным контентом.</w:t>
      </w:r>
    </w:p>
    <w:p>
      <w:pPr>
        <w:pStyle w:val="Titre2"/>
        <w:spacing w:before="451" w:after="451"/>
        <w:rPr>
          <w:sz w:val="28"/>
          <w:szCs w:val="28"/>
        </w:rPr>
      </w:pPr>
      <w:bookmarkStart w:id="6" w:name="_Toc104400239"/>
      <w:r>
        <w:rPr>
          <w:sz w:val="28"/>
          <w:szCs w:val="28"/>
        </w:rPr>
        <w:t>1.3 Обзор инструментов для создания ЭОР</w:t>
      </w:r>
      <w:bookmarkEnd w:id="6"/>
    </w:p>
    <w:p>
      <w:pPr>
        <w:pStyle w:val="Normal"/>
        <w:rPr/>
      </w:pPr>
      <w:r>
        <w:rPr/>
        <w:t>Значительно ускорить процесс разработки ЭОР можно с помощью специализированных программ.</w:t>
      </w:r>
    </w:p>
    <w:p>
      <w:pPr>
        <w:pStyle w:val="Normal"/>
        <w:rPr/>
      </w:pPr>
      <w:r>
        <w:rPr/>
        <w:t>Выделяют несколько основных классов инструментов, используемых при разработке ЭОР:</w:t>
      </w:r>
    </w:p>
    <w:p>
      <w:pPr>
        <w:pStyle w:val="Normal"/>
        <w:numPr>
          <w:ilvl w:val="0"/>
          <w:numId w:val="5"/>
        </w:numPr>
        <w:ind w:left="0" w:firstLine="709"/>
        <w:rPr/>
      </w:pPr>
      <w:r>
        <w:rPr/>
        <w:t>Средства публикации ЭОР: Microsoft Office, Microsoft Excel, Microsoft PowerPoint, Adobe Flash, iSpring Suite и т. п. При помощи этих средств можно создать цифровой ресурс, экспортируемый, как правило, в формат SCORM.</w:t>
      </w:r>
    </w:p>
    <w:p>
      <w:pPr>
        <w:pStyle w:val="Normal"/>
        <w:numPr>
          <w:ilvl w:val="0"/>
          <w:numId w:val="5"/>
        </w:numPr>
        <w:ind w:left="0" w:firstLine="709"/>
        <w:rPr/>
      </w:pPr>
      <w:r>
        <w:rPr/>
        <w:t>Самостоятельно разработанные программные продукты. Современные высокоуровневые языки программирования (Python, Java, PHP, JavaScript и т. д.) позволяют разработать электронный ресурс любого типа, например, в виде веб-приложения.</w:t>
      </w:r>
    </w:p>
    <w:p>
      <w:pPr>
        <w:pStyle w:val="Normal"/>
        <w:numPr>
          <w:ilvl w:val="0"/>
          <w:numId w:val="5"/>
        </w:numPr>
        <w:ind w:left="0" w:firstLine="709"/>
        <w:rPr/>
      </w:pPr>
      <w:r>
        <w:rPr/>
        <w:t xml:space="preserve">Системы управления обучением. С ускорением развития сети Интернет, в 2000-е годы средства публикации ЭОР и отдельные программные проекты преобразовались в типовые системы, стандартизирующие процессы управления обучением, например, Moodle, ATutor, Sakai  и т. п. </w:t>
      </w:r>
      <w:r>
        <w:rPr>
          <w:highlight w:val="white"/>
        </w:rPr>
        <w:t>В 2004 году был разработан стандарт SCORM, который позволяет использовать совместно материалы различных курсов.</w:t>
      </w:r>
    </w:p>
    <w:p>
      <w:pPr>
        <w:pStyle w:val="Titre3"/>
        <w:spacing w:before="451" w:after="451"/>
        <w:rPr>
          <w:lang w:val="en-US"/>
        </w:rPr>
      </w:pPr>
      <w:bookmarkStart w:id="7" w:name="_Toc104400240"/>
      <w:r>
        <w:rPr>
          <w:color w:val="auto"/>
          <w:lang w:val="en-US"/>
        </w:rPr>
        <w:t>1.3.1 LMS Moodle</w:t>
      </w:r>
      <w:bookmarkEnd w:id="7"/>
    </w:p>
    <w:p>
      <w:pPr>
        <w:pStyle w:val="Normal"/>
        <w:rPr/>
      </w:pPr>
      <w:r>
        <w:rPr>
          <w:lang w:val="en-US"/>
        </w:rPr>
        <w:t>Moodle (</w:t>
      </w:r>
      <w:r>
        <w:rPr/>
        <w:t>от</w:t>
      </w:r>
      <w:r>
        <w:rPr>
          <w:lang w:val="en-US"/>
        </w:rPr>
        <w:t xml:space="preserve"> </w:t>
      </w:r>
      <w:r>
        <w:rPr/>
        <w:t>англ</w:t>
      </w:r>
      <w:r>
        <w:rPr>
          <w:lang w:val="en-US"/>
        </w:rPr>
        <w:t xml:space="preserve">. </w:t>
      </w:r>
      <w:r>
        <w:rPr/>
        <w:t>Modular Object-Oriented Dynamic Learning Environment — модульная объектно-ориентированная динамическая обучающая среда) — это система управления курсами. Moodle — это свободное программное обеспечение, распространяемое по лицензии GNU GPL, написанное на языках программирования PHP и JavaScript.</w:t>
      </w:r>
    </w:p>
    <w:p>
      <w:pPr>
        <w:pStyle w:val="Normal"/>
        <w:rPr/>
      </w:pPr>
      <w:r>
        <w:rPr>
          <w:highlight w:val="white"/>
        </w:rPr>
        <w:t>СДО Moodle занимает примерно 18 % рынка в США.</w:t>
      </w:r>
    </w:p>
    <w:p>
      <w:pPr>
        <w:pStyle w:val="Normal"/>
        <w:rPr/>
      </w:pPr>
      <w:r>
        <w:rPr>
          <w:highlight w:val="white"/>
        </w:rPr>
        <w:t>Систему Moodle можно рассматривать как набор сервисов:</w:t>
      </w:r>
    </w:p>
    <w:p>
      <w:pPr>
        <w:pStyle w:val="Normal"/>
        <w:numPr>
          <w:ilvl w:val="0"/>
          <w:numId w:val="6"/>
        </w:numPr>
        <w:ind w:left="0" w:firstLine="709"/>
        <w:rPr/>
      </w:pPr>
      <w:r>
        <w:rPr>
          <w:highlight w:val="white"/>
        </w:rPr>
        <w:t>сервис аутентификации и авторизации: пользователи имеют разные роли и, следовательно, возможности;</w:t>
      </w:r>
    </w:p>
    <w:p>
      <w:pPr>
        <w:pStyle w:val="Normal"/>
        <w:numPr>
          <w:ilvl w:val="0"/>
          <w:numId w:val="6"/>
        </w:numPr>
        <w:ind w:left="0" w:firstLine="709"/>
        <w:rPr/>
      </w:pPr>
      <w:r>
        <w:rPr>
          <w:highlight w:val="white"/>
        </w:rPr>
        <w:t>система управления содержимым, ориентированная на управление курсами и учебными материалами: пользователи могут выкладывать и редактировать различные материалы;</w:t>
      </w:r>
    </w:p>
    <w:p>
      <w:pPr>
        <w:pStyle w:val="Normal"/>
        <w:numPr>
          <w:ilvl w:val="0"/>
          <w:numId w:val="6"/>
        </w:numPr>
        <w:ind w:left="0" w:firstLine="709"/>
        <w:rPr/>
      </w:pPr>
      <w:r>
        <w:rPr>
          <w:highlight w:val="white"/>
        </w:rPr>
        <w:t>система для коммуникации между пользователями: система позволяет создавать чаты и форумы, совершать массовые рассылки и отправлять личные сообщения;</w:t>
      </w:r>
    </w:p>
    <w:p>
      <w:pPr>
        <w:pStyle w:val="Normal"/>
        <w:numPr>
          <w:ilvl w:val="0"/>
          <w:numId w:val="6"/>
        </w:numPr>
        <w:ind w:left="0" w:firstLine="709"/>
        <w:rPr/>
      </w:pPr>
      <w:r>
        <w:rPr>
          <w:highlight w:val="white"/>
        </w:rPr>
        <w:t>система журналирования и ведения статистики: пользователи могут вести портфолио; преподаватели — анализировать и учитывать компетенции и промежуточные результаты;</w:t>
      </w:r>
    </w:p>
    <w:p>
      <w:pPr>
        <w:pStyle w:val="Normal"/>
        <w:numPr>
          <w:ilvl w:val="0"/>
          <w:numId w:val="6"/>
        </w:numPr>
        <w:ind w:left="0" w:firstLine="709"/>
        <w:rPr/>
      </w:pPr>
      <w:r>
        <w:rPr>
          <w:highlight w:val="white"/>
        </w:rPr>
        <w:t>программные интерфейсы, например, для реализации мобильных клиентов.</w:t>
      </w:r>
    </w:p>
    <w:p>
      <w:pPr>
        <w:pStyle w:val="Titre3"/>
        <w:spacing w:before="451" w:after="451"/>
        <w:rPr/>
      </w:pPr>
      <w:bookmarkStart w:id="8" w:name="_Toc104400241"/>
      <w:r>
        <w:rPr>
          <w:color w:val="auto"/>
        </w:rPr>
        <w:t>1.3.2 CMS-базированные решения</w:t>
      </w:r>
      <w:bookmarkEnd w:id="8"/>
    </w:p>
    <w:p>
      <w:pPr>
        <w:pStyle w:val="Normal"/>
        <w:rPr/>
      </w:pPr>
      <w:r>
        <w:rPr>
          <w:highlight w:val="white"/>
        </w:rPr>
        <w:t>Система управления содержимым (от англ. Content management system, CM</w:t>
      </w:r>
      <w:r>
        <w:rPr>
          <w:color w:val="000000"/>
        </w:rPr>
        <w:t>S, система управления контентом) — это программное обеспечение, которое позволяет управлять контентом: создавать и публиковать фотографии, текст, размещать виджеты, менять дизайн и другие элементы. Системы управления содержимым позволяют пользователю управлять сайтом в удобном интерфейсе. При этом системы управления содержимым целенаправленно разрабатываются для обычных пользователей, не владеющих языками программирования.</w:t>
      </w:r>
    </w:p>
    <w:p>
      <w:pPr>
        <w:pStyle w:val="Corpsdetexte"/>
        <w:spacing w:lineRule="auto" w:line="360" w:before="0" w:after="0"/>
        <w:rPr>
          <w:color w:val="000000"/>
        </w:rPr>
      </w:pPr>
      <w:r>
        <w:rPr>
          <w:color w:val="000000"/>
        </w:rPr>
        <w:t>Стандартная система управления содержанием сайта позволяет:</w:t>
      </w:r>
    </w:p>
    <w:p>
      <w:pPr>
        <w:pStyle w:val="Corpsdetexte"/>
        <w:numPr>
          <w:ilvl w:val="0"/>
          <w:numId w:val="7"/>
        </w:numPr>
        <w:spacing w:lineRule="auto" w:line="360" w:before="0" w:after="0"/>
        <w:rPr>
          <w:color w:val="000000"/>
        </w:rPr>
      </w:pPr>
      <w:r>
        <w:rPr>
          <w:color w:val="000000"/>
        </w:rPr>
        <w:t>наполнять страницы сайта любым типом информации (фотографиями, видео, текстами, документами и др.),</w:t>
      </w:r>
    </w:p>
    <w:p>
      <w:pPr>
        <w:pStyle w:val="Corpsdetexte"/>
        <w:numPr>
          <w:ilvl w:val="0"/>
          <w:numId w:val="7"/>
        </w:numPr>
        <w:spacing w:lineRule="auto" w:line="360" w:before="0" w:after="0"/>
        <w:rPr>
          <w:color w:val="000000"/>
        </w:rPr>
      </w:pPr>
      <w:r>
        <w:rPr>
          <w:color w:val="000000"/>
        </w:rPr>
        <w:t>быстро изменять внешний вид как всего сайта, так и отдельной страницы,</w:t>
      </w:r>
    </w:p>
    <w:p>
      <w:pPr>
        <w:pStyle w:val="Corpsdetexte"/>
        <w:numPr>
          <w:ilvl w:val="0"/>
          <w:numId w:val="7"/>
        </w:numPr>
        <w:spacing w:lineRule="auto" w:line="360" w:before="0" w:after="0"/>
        <w:rPr>
          <w:color w:val="000000"/>
        </w:rPr>
      </w:pPr>
      <w:r>
        <w:rPr>
          <w:color w:val="000000"/>
        </w:rPr>
        <w:t>настраивать дополнительные элементы сайта при помощи плагинов или кода.</w:t>
      </w:r>
    </w:p>
    <w:p>
      <w:pPr>
        <w:pStyle w:val="Normal"/>
        <w:rPr/>
      </w:pPr>
      <w:r>
        <w:rPr>
          <w:highlight w:val="white"/>
        </w:rPr>
        <w:t>Возможность разместить в сети Интернет и, при необходимости, редактировать документы, мультимедиа и клиентские скрипты JavaScript позволяет утверждать, что системы управления веб-содержимым могут быть использованы в качестве систем управления обучением.</w:t>
      </w:r>
    </w:p>
    <w:p>
      <w:pPr>
        <w:pStyle w:val="Normal"/>
        <w:rPr/>
      </w:pPr>
      <w:r>
        <w:rPr>
          <w:highlight w:val="white"/>
        </w:rPr>
        <w:t>Основным отличием систем управления содержимым от систем управления обучением является множество покрываемых задач: системы управления контентом по умолчанию предоставляют меньше возможностей (нет системы чатов, личных сообщений и т. п.). При этом, как правило, этот функционал может быть добавлен в виде плагинов.</w:t>
      </w:r>
    </w:p>
    <w:p>
      <w:pPr>
        <w:pStyle w:val="Normal"/>
        <w:rPr/>
      </w:pPr>
      <w:r>
        <w:rPr>
          <w:highlight w:val="white"/>
        </w:rPr>
        <w:t>По данным лаборатории W3Techs, в 2015 году 25 % всех сайтов работали под управлением системы управления содержимым WordPress, в августе 2018 — более 30 %, а в марте 2020 — уже более 41 % (доля рынка систем управления контентом составляет 63 %).</w:t>
      </w:r>
    </w:p>
    <w:p>
      <w:pPr>
        <w:pStyle w:val="Normal"/>
        <w:rPr/>
      </w:pPr>
      <w:r>
        <w:rPr/>
        <w:t xml:space="preserve">Функционал </w:t>
      </w:r>
      <w:r>
        <w:rPr>
          <w:highlight w:val="white"/>
        </w:rPr>
        <w:t>WordPress</w:t>
      </w:r>
      <w:r>
        <w:rPr/>
        <w:t xml:space="preserve"> можно расширять при помощи платных и бесплатных плагинов. При этом среди бесплатных плагинов существует множество решений, позволяющих превратить </w:t>
      </w:r>
      <w:r>
        <w:rPr>
          <w:highlight w:val="white"/>
        </w:rPr>
        <w:t>WordPress</w:t>
      </w:r>
      <w:r>
        <w:rPr/>
        <w:t xml:space="preserve"> в систему управления обучением [18].</w:t>
      </w:r>
    </w:p>
    <w:p>
      <w:pPr>
        <w:pStyle w:val="Normal"/>
        <w:rPr/>
      </w:pPr>
      <w:r>
        <w:rPr/>
        <w:t xml:space="preserve">При проведение исследования было рассмотрено пять наиболее популярных (фильтрация по убыванию популярности в магазине приложений) бесплатных плагинов, добавляющих в </w:t>
      </w:r>
      <w:r>
        <w:rPr>
          <w:lang w:val="en-US"/>
        </w:rPr>
        <w:t>WordPress</w:t>
      </w:r>
      <w:r>
        <w:rPr/>
        <w:t xml:space="preserve"> функционал системы управления обучением: </w:t>
      </w:r>
      <w:r>
        <w:rPr>
          <w:lang w:val="en-US"/>
        </w:rPr>
        <w:t>LifterLMS</w:t>
      </w:r>
      <w:r>
        <w:rPr/>
        <w:t xml:space="preserve">, </w:t>
      </w:r>
      <w:r>
        <w:rPr>
          <w:lang w:val="en-US"/>
        </w:rPr>
        <w:t>Sensei</w:t>
      </w:r>
      <w:r>
        <w:rPr/>
        <w:t xml:space="preserve"> </w:t>
      </w:r>
      <w:r>
        <w:rPr>
          <w:lang w:val="en-US"/>
        </w:rPr>
        <w:t>LMS</w:t>
      </w:r>
      <w:r>
        <w:rPr/>
        <w:t xml:space="preserve">, </w:t>
      </w:r>
      <w:r>
        <w:rPr>
          <w:lang w:val="en-US"/>
        </w:rPr>
        <w:t>Tutor</w:t>
      </w:r>
      <w:r>
        <w:rPr/>
        <w:t xml:space="preserve"> </w:t>
      </w:r>
      <w:r>
        <w:rPr>
          <w:lang w:val="en-US"/>
        </w:rPr>
        <w:t>LMS</w:t>
      </w:r>
      <w:r>
        <w:rPr/>
        <w:t xml:space="preserve">, </w:t>
      </w:r>
      <w:r>
        <w:rPr>
          <w:lang w:val="en-US"/>
        </w:rPr>
        <w:t>LearnPress</w:t>
      </w:r>
      <w:r>
        <w:rPr/>
        <w:t xml:space="preserve">, </w:t>
      </w:r>
      <w:r>
        <w:rPr>
          <w:lang w:val="en-US"/>
        </w:rPr>
        <w:t>MasterStudy</w:t>
      </w:r>
      <w:r>
        <w:rPr/>
        <w:t>. Все рассмотренные плагины предоставляют возможность создавать курсы, главы (уроки) и викторины [1].</w:t>
      </w:r>
    </w:p>
    <w:p>
      <w:pPr>
        <w:pStyle w:val="Titre3"/>
        <w:spacing w:before="451" w:after="451"/>
        <w:rPr/>
      </w:pPr>
      <w:bookmarkStart w:id="9" w:name="_Toc104400242"/>
      <w:r>
        <w:rPr>
          <w:color w:val="auto"/>
        </w:rPr>
        <w:t>1.3.3 Прочие инструменты</w:t>
      </w:r>
      <w:bookmarkEnd w:id="9"/>
    </w:p>
    <w:p>
      <w:pPr>
        <w:pStyle w:val="Normal"/>
        <w:rPr/>
      </w:pPr>
      <w:r>
        <w:rPr/>
        <w:t>Отличительной чертой рассмотренных ранее инструментов является то, что они предлагают пользователю «некую свободу действий». Например, WordPress имеет открытый исходный код, который можно модифицировать и расширять любыми способами, которые допускает лицензия. Важно отметить, что среди рассмотренных плагинов расширять и модифицировать возможно только код плагина «</w:t>
      </w:r>
      <w:r>
        <w:rPr>
          <w:lang w:val="en-US"/>
        </w:rPr>
        <w:t>Sensei</w:t>
      </w:r>
      <w:r>
        <w:rPr/>
        <w:t xml:space="preserve"> </w:t>
      </w:r>
      <w:r>
        <w:rPr>
          <w:lang w:val="en-US"/>
        </w:rPr>
        <w:t>LMS</w:t>
      </w:r>
      <w:r>
        <w:rPr/>
        <w:t>»; все остальные плагины, даже имея открытый исходный код, в соответствии с лицензией, не могут быть модифицированы. Система Moodle также имеет открытый исходный код, который при необходимости можно изменять. Отдельно стоит отметить, что рассмотренные системы — крайне популярны; популярность, в свою очередь, гарантирует большое количество уже готовых расширений и поддержку со стороны сообщества и разработчиков.</w:t>
      </w:r>
    </w:p>
    <w:p>
      <w:pPr>
        <w:pStyle w:val="Normal"/>
        <w:rPr/>
      </w:pPr>
      <w:r>
        <w:rPr/>
        <w:t>Помимо инструментов с открытым исходным кодом существует множество других проприетарных решений, например, iSpring Suite – расширение для PowerPoint. iSpring Suite позволяет создавать электронные тесты, диалоговые тренажёры, озвучивать слайды, записывать скринкасты, монтировать видео или создавать обучающие игры [8]. NeoBook Professional – система для разработки интерактивных элементов: тестов, анкет, небольших веб-приложений и т.д. и т.д.</w:t>
      </w:r>
    </w:p>
    <w:p>
      <w:pPr>
        <w:pStyle w:val="Titre2"/>
        <w:spacing w:before="451" w:after="451"/>
        <w:rPr>
          <w:sz w:val="28"/>
          <w:szCs w:val="28"/>
        </w:rPr>
      </w:pPr>
      <w:bookmarkStart w:id="10" w:name="_Toc104400243"/>
      <w:r>
        <w:rPr>
          <w:sz w:val="28"/>
          <w:szCs w:val="28"/>
        </w:rPr>
        <w:t>1.4 Этапы разработки ЭОР</w:t>
      </w:r>
      <w:bookmarkEnd w:id="10"/>
    </w:p>
    <w:p>
      <w:pPr>
        <w:pStyle w:val="Normal"/>
        <w:rPr/>
      </w:pPr>
      <w:r>
        <w:rPr/>
        <w:t>Разработка ЭОР осуществляется в два этапа [17]:</w:t>
      </w:r>
    </w:p>
    <w:p>
      <w:pPr>
        <w:pStyle w:val="Normal"/>
        <w:numPr>
          <w:ilvl w:val="0"/>
          <w:numId w:val="8"/>
        </w:numPr>
        <w:ind w:left="0" w:firstLine="709"/>
        <w:rPr/>
      </w:pPr>
      <w:r>
        <w:rPr/>
        <w:t>подготовка;</w:t>
      </w:r>
    </w:p>
    <w:p>
      <w:pPr>
        <w:pStyle w:val="Normal"/>
        <w:numPr>
          <w:ilvl w:val="0"/>
          <w:numId w:val="8"/>
        </w:numPr>
        <w:ind w:left="0" w:firstLine="709"/>
        <w:rPr/>
      </w:pPr>
      <w:r>
        <w:rPr/>
        <w:t>компоновка.</w:t>
      </w:r>
    </w:p>
    <w:p>
      <w:pPr>
        <w:pStyle w:val="Normal"/>
        <w:rPr/>
      </w:pPr>
      <w:r>
        <w:rPr>
          <w:color w:val="000000"/>
        </w:rPr>
        <w:t>На подготовительном этапе ведётся подбор или разработка исходных материалов для ЭОР (текстов, графических иллюстраций, анимационных, аудио и видеофрагментов и т. д.). При необходимости приобретается программное обеспечение. Для набора текстов, создания иллюстраций и анимаций используются программные средства общего назначения.</w:t>
      </w:r>
    </w:p>
    <w:p>
      <w:pPr>
        <w:pStyle w:val="Normal"/>
        <w:rPr/>
      </w:pPr>
      <w:r>
        <w:rPr>
          <w:color w:val="000000"/>
        </w:rPr>
        <w:t>На этапе компоновки разработанные ранее части ресурса собираются в единую сущность, которая предоставляется учащимся.</w:t>
      </w:r>
    </w:p>
    <w:p>
      <w:pPr>
        <w:pStyle w:val="Normal"/>
        <w:spacing w:before="456" w:after="456"/>
        <w:rPr/>
      </w:pPr>
      <w:r>
        <w:rPr/>
        <w:t>1.5 Технологические особенности разработки ЭОР</w:t>
      </w:r>
    </w:p>
    <w:p>
      <w:pPr>
        <w:pStyle w:val="Normal"/>
        <w:rPr/>
      </w:pPr>
      <w:r>
        <w:rPr/>
        <w:t>Ко всем ЭОР  предъявляются следующие базовые требования [17]: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Цели и задачи учебного плана, затрагиваемые в курсе, должны соответствовать образовательным стандартам.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Содержание ЭОР (в том числе его элементы) должно быть актуальным.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Сведения должны быть систематизированы и изложены в форме, удобной для изучения и преподавания.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Материал ресурса должен быть разбит на завершённые логические единицы, каждая из которых — минимальна по объёму.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Логические единицы должны сопровождаться средствами контроля знаний, например, тестами. Учащиеся должны иметь доступ к средствам самоконтроля, предоставляющим обратную связь. Например, при прохождении теста следует давать пояснения к конкретному ответу, указывать на ошибку вместо того, чтобы просто отмечать правильный ответ; пример грамотной обратной связи представлен на рисунке 1.</w:t>
      </w:r>
    </w:p>
    <w:p>
      <w:pPr>
        <w:pStyle w:val="Normal"/>
        <w:spacing w:before="0" w:after="227"/>
        <w:ind w:hanging="0"/>
        <w:jc w:val="center"/>
        <w:rPr/>
      </w:pPr>
      <w: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474845" cy="5303520"/>
            <wp:effectExtent l="0" t="0" r="0" b="0"/>
            <wp:wrapTopAndBottom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0" r="0" b="8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845" cy="5303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Рисунок 1 — контекстуализированная обратная связь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Материалы ресурса должны предоставлять всю информацию, которая может понадобиться при прохождении контроля и тестовых заданий.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При необходимости материал должен сопровождаться комментариями.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Программная реализация ресурса должна быть качественной: корректно работать и быть отказоустойчивой.</w:t>
      </w:r>
    </w:p>
    <w:p>
      <w:pPr>
        <w:pStyle w:val="Normal"/>
        <w:numPr>
          <w:ilvl w:val="0"/>
          <w:numId w:val="9"/>
        </w:numPr>
        <w:ind w:left="0" w:firstLine="709"/>
        <w:rPr/>
      </w:pPr>
      <w:r>
        <w:rPr/>
        <w:t>Интерфейс ресурса должен быть интуитивно понятен, ясен и «дружественен» по отношению как к педагогу, так и к учащемуся.</w:t>
      </w:r>
    </w:p>
    <w:p>
      <w:pPr>
        <w:pStyle w:val="Normal"/>
        <w:rPr/>
      </w:pPr>
      <w:r>
        <w:rPr/>
        <w:t>Особое внимание следует уделять изображения, схемам, аудио и видео материалам. Графические материалы усваиваются лучше обычного текста и повышает эффективность восприятия информации (до 89% по данным исследований [15]). Кроме того, материал становится более понятным. Графический материал должен располагаться как можно ближе к текстовым пояснениям.</w:t>
      </w:r>
    </w:p>
    <w:p>
      <w:pPr>
        <w:pStyle w:val="Normal"/>
        <w:rPr/>
      </w:pPr>
      <w:r>
        <w:rPr/>
        <w:t>Электронный образовательный ресурс должен мотивировать учащегося. Учащийся должен быть заинтересован в результате. Например, для повышения мотивации можно прибегнуть к геймификации или внедрить упражнения и задачи с возрастающей сложностью. Необходимо обращаться к таким эмоциям учащегося, как удивление, любопытство или интерес.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11" w:name="_Toc104400244"/>
      <w:r>
        <w:rPr>
          <w:sz w:val="28"/>
          <w:szCs w:val="28"/>
        </w:rPr>
        <w:t>2 РАЗРАБОТКА ЭОР</w:t>
      </w:r>
      <w:bookmarkEnd w:id="11"/>
    </w:p>
    <w:p>
      <w:pPr>
        <w:pStyle w:val="Titre2"/>
        <w:spacing w:before="451" w:after="451"/>
        <w:rPr>
          <w:sz w:val="28"/>
          <w:szCs w:val="28"/>
        </w:rPr>
      </w:pPr>
      <w:bookmarkStart w:id="12" w:name="_Toc104400245"/>
      <w:r>
        <w:rPr>
          <w:sz w:val="28"/>
          <w:szCs w:val="28"/>
        </w:rPr>
        <w:t>2.1 Адаптация требований к ЭОР</w:t>
      </w:r>
      <w:bookmarkEnd w:id="12"/>
    </w:p>
    <w:p>
      <w:pPr>
        <w:pStyle w:val="Normal"/>
        <w:rPr/>
      </w:pPr>
      <w:r>
        <w:rPr/>
        <w:t>Методология Agile чётко определяет принципы гибкой разработки программного обеспечения, но не предлагает никаких конкретных инженерных и практических методов. Культура DevOps является сугубо практическим ответвлением методологии Agile и, таким образом, предлагает недостающие решения и методы; в свою очередь, непрерывная интеграция и непрерывное развёртывание являются проявлениями DevOps [6]. Отсюда можно сделать вывод, что материалы, используемые для изучения методологии CI/CD должны иметь практическую направленность.</w:t>
      </w:r>
    </w:p>
    <w:p>
      <w:pPr>
        <w:pStyle w:val="Normal"/>
        <w:rPr/>
      </w:pPr>
      <w:r>
        <w:rPr/>
        <w:t>На сегодняшний день существует большое количество инструментов и сервисов для реализации CI/CD. В каждой программной среде выработался свой набор инструментов [2]. При этом инструменты одной среды идейно схожи с инструментами другой среды. Например, для написания автоматизированных тестов в Java-среде используется библиотека «</w:t>
      </w:r>
      <w:r>
        <w:rPr>
          <w:lang w:val="en-US"/>
        </w:rPr>
        <w:t>Junit</w:t>
      </w:r>
      <w:r>
        <w:rPr/>
        <w:t xml:space="preserve">». Эта библиотека была первой в своём роде и получила настолько широкое распространение, что разработчики других сред начали копировать её интерфейсы. Так PHP-разработчики скопировали успешные интерфейсы </w:t>
      </w:r>
      <w:r>
        <w:rPr>
          <w:lang w:val="en-US"/>
        </w:rPr>
        <w:t>Junit</w:t>
      </w:r>
      <w:r>
        <w:rPr/>
        <w:t xml:space="preserve"> и назвали получившийся продукт «PHPUnit». Похожим образом поступили разработчики Python, разработав модуль «unittest», который нарушает стандарты PEP 8, копируя оригинальные интерфейсы из </w:t>
      </w:r>
      <w:r>
        <w:rPr>
          <w:lang w:val="en-US"/>
        </w:rPr>
        <w:t>Junit</w:t>
      </w:r>
      <w:r>
        <w:rPr/>
        <w:t xml:space="preserve"> [16]. Другой пример – статические анализаторы кода: «PHPStan» – для PHP, «Pylint» – для Python, а в случае Java – встроенный компилятор. Поэтому разрабатываемый образовательный ресурс должен быть нацелен на то, чтобы донести до учащихся факт существования схожих классов инструментов и общие принципы работы с ними, но не рассматривать каждый конкретный инструмент в деталях.</w:t>
      </w:r>
    </w:p>
    <w:p>
      <w:pPr>
        <w:pStyle w:val="Normal"/>
        <w:rPr/>
      </w:pPr>
      <w:r>
        <w:rPr/>
        <w:t>Другая важная проблема заключается в том, что рассмотрение инструментов без повторений и реального примера ведёт к быстрому забыванию материала. Отсюда следует, что образовательный ресурс должен предлагать учащимся, как минимум, третий уровень интерактивности.</w:t>
      </w:r>
    </w:p>
    <w:p>
      <w:pPr>
        <w:pStyle w:val="Normal"/>
        <w:rPr/>
      </w:pPr>
      <w:r>
        <w:rPr/>
        <w:t>Одно из возможных решений заключается в следующем: учащиеся, руководствуясь предоставленными теоретическими материалами, дополняют рассмотренные примеры, и таким образом реализуют полноценный CI/CD-пайплайн в контексте современного веб-проекта. При этом результат их деятельности, во-первых, становится виден сразу, что повышает мотивацию, во-вторых, сохраняется в справочной форме. Например, при изучении возможностей GitHub Actions по параллелизации задач, неоднократное повторение и демонстрация возможностей сервиса отложит в головах учащихся факт существования и сферы применения параллелизации в сервисе GitHub Actions; если учащиеся забудут конкретные параметры, они всегда смогут вернуться к файлу с конфигурацией и воспользоваться им как справочником.</w:t>
      </w:r>
    </w:p>
    <w:p>
      <w:pPr>
        <w:pStyle w:val="Normal"/>
        <w:rPr/>
      </w:pPr>
      <w:r>
        <w:rPr/>
        <w:t>Разработка типового веб-проекта не входит в материалы курса и является отдельной обширной темой, рассматриваемой сразу в нескольких дисциплинах. Следовательно, учащиеся должны иметь возможность быстро, а главное, не вдаваясь в подробности, заполучить некий веб-проект, к которому и будет применена методология CI/CD. Учащиеся могут воспользоваться проектами, которые они разработали ранее; или – уже существующими демонстрационными приложениями, например, «Symfony Demo Application». Последний вариант является более предпочтительным, поскольку демонстрационные приложения обычно задействуют более широкий спектр технологий: они покрыты тестами, включают линтеры, сканеры зависимостей и т.д.</w:t>
      </w:r>
    </w:p>
    <w:p>
      <w:pPr>
        <w:pStyle w:val="Titre2"/>
        <w:spacing w:before="394" w:after="394"/>
        <w:rPr>
          <w:sz w:val="28"/>
          <w:szCs w:val="28"/>
        </w:rPr>
      </w:pPr>
      <w:bookmarkStart w:id="13" w:name="_Toc104400246"/>
      <w:r>
        <w:rPr>
          <w:sz w:val="28"/>
          <w:szCs w:val="28"/>
        </w:rPr>
        <w:t>2.2 Проектирование ЭОР</w:t>
      </w:r>
      <w:bookmarkEnd w:id="13"/>
    </w:p>
    <w:p>
      <w:pPr>
        <w:pStyle w:val="Normal"/>
        <w:rPr/>
      </w:pPr>
      <w:r>
        <w:rPr/>
        <w:t>Перед началом разработки электронного образовательного ресурса необходимо подготовить сценарий и подобрать инструменты [7].</w:t>
      </w:r>
    </w:p>
    <w:p>
      <w:pPr>
        <w:pStyle w:val="Titre3"/>
        <w:spacing w:before="0" w:after="448"/>
        <w:rPr/>
      </w:pPr>
      <w:bookmarkStart w:id="14" w:name="_Toc104400247"/>
      <w:r>
        <w:rPr>
          <w:color w:val="auto"/>
        </w:rPr>
        <w:t>2.2.1 Структура ЭОР</w:t>
      </w:r>
      <w:bookmarkEnd w:id="14"/>
    </w:p>
    <w:p>
      <w:pPr>
        <w:pStyle w:val="Normal"/>
        <w:rPr/>
      </w:pPr>
      <w:r>
        <w:rPr/>
        <w:t>Разрабатываемый электронный образовательный ресурс представляет собой цикл статей, которые можно разбить на три основных раздела:</w:t>
      </w:r>
    </w:p>
    <w:p>
      <w:pPr>
        <w:pStyle w:val="Normal"/>
        <w:rPr/>
      </w:pPr>
      <w:r>
        <w:rPr/>
        <w:t>1. Введение.</w:t>
      </w:r>
    </w:p>
    <w:p>
      <w:pPr>
        <w:pStyle w:val="Normal"/>
        <w:rPr/>
      </w:pPr>
      <w:r>
        <w:rPr/>
        <w:t>2. Непрерывная интеграция (Continuous Integration).</w:t>
      </w:r>
    </w:p>
    <w:p>
      <w:pPr>
        <w:pStyle w:val="Normal"/>
        <w:rPr/>
      </w:pPr>
      <w:r>
        <w:rPr/>
        <w:t>3. Непрерывная доставка и развёртывание (Continuous Delivery/Deployment).</w:t>
      </w:r>
    </w:p>
    <w:p>
      <w:pPr>
        <w:pStyle w:val="Normal"/>
        <w:rPr/>
      </w:pPr>
      <w:r>
        <w:rPr/>
        <w:t>Во введении рассматривается роль методологии CI/CD в современных циклах разработки ПО, её связь с DevOps и Agile, преимущества и недостатки, общие понятия. Основная задача введения – показать значимость и, как следствие, вездесущность методологии CI/CD. Этот раздел содержит исключительно теоретические материалы: текст и изображения. Раздел оканчивается викториной. Викторина предоставляет обратную связь, незамедлительно обозначая неверные ответы и пояснения к ним.</w:t>
      </w:r>
    </w:p>
    <w:p>
      <w:pPr>
        <w:pStyle w:val="Normal"/>
        <w:rPr/>
      </w:pPr>
      <w:r>
        <w:rPr/>
        <w:t>Второй раздел рассматривает непрерывную интеграцию и имеет практическую направленность. Порядок рассмотрения инструментов и, как следствие, глав определяется типовым сценарием работы с настоящим проектом. По этой же причине реальная задача и её практическое решение предшествуют теории. Детальная информация о втором разделе представлена в таблице 1.</w:t>
      </w:r>
    </w:p>
    <w:tbl>
      <w:tblPr>
        <w:tblStyle w:val="af5"/>
        <w:tblW w:w="99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3"/>
        <w:gridCol w:w="3544"/>
        <w:gridCol w:w="5676"/>
      </w:tblGrid>
      <w:tr>
        <w:trPr/>
        <w:tc>
          <w:tcPr>
            <w:tcW w:w="9913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240" w:after="24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Таблица 1 – Главы второго раздела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Arial"/>
                <w:kern w:val="0"/>
                <w:lang w:val="ru-RU" w:eastAsia="ru-RU" w:bidi="ar-SA"/>
              </w:rPr>
              <w:t>п/п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Название главы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1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SSH: Защищённое соединение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SSH, ssh-keygen, асинхронное шифрование, ssh-agent, конфигурирование SSH-ключей в GitHub и GitLab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2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Размещение проекта в GitHub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Проект «Symfony Demo Application», форк репозитория, основы работы с Git, настройки GitHub Actions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af5"/>
        <w:tblW w:w="991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3"/>
        <w:gridCol w:w="3544"/>
        <w:gridCol w:w="5676"/>
      </w:tblGrid>
      <w:tr>
        <w:trPr/>
        <w:tc>
          <w:tcPr>
            <w:tcW w:w="9913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24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Продолжение таблицы 1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3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Директория .github</w:t>
            </w:r>
            <w:r>
              <w:rPr>
                <w:rFonts w:eastAsia="Arial"/>
                <w:kern w:val="0"/>
                <w:lang w:val="en-US" w:eastAsia="ru-RU" w:bidi="ar-SA"/>
              </w:rPr>
              <w:t>:</w:t>
            </w:r>
            <w:r>
              <w:rPr>
                <w:rFonts w:eastAsia="Arial"/>
                <w:kern w:val="0"/>
                <w:lang w:val="ru-RU" w:eastAsia="ru-RU" w:bidi="ar-SA"/>
              </w:rPr>
              <w:t xml:space="preserve"> первый пайплайн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Механизм событий и подписчиков, пайплайн (workflow), задача (job), action-приложение, отчёт по пайплайну, отлавливание ошибок в пайплайнах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4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Кеш GitHub: ускорение пайплайнов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Менеджер зависимостей (на примере Composer), .lock-файлы, ограничения GitHub Actions, кеширование (приложение actions/cache), язык выражений, контексты, функции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5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PHPUnit: автоматизированное тестирование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TDD и Test First Design, PHPUnit, автоматизированные тесты, семантическое версионирование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6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Линтеры: как не забыть про точку с запятой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Линтер, DI-контейнер, параллелизация, создание action-приложений, теги Git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7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PHP CS Fixer: стандарты написания кода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Стандарты написания кода, стандартные рекомендации (на примере PSR), параметризация action-приложений, PHP CS Fixer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8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PHPStan: типобезопасность без компиляции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Статический анализатор кода (на примере PHPStan)</w:t>
            </w:r>
          </w:p>
        </w:tc>
      </w:tr>
      <w:tr>
        <w:trPr/>
        <w:tc>
          <w:tcPr>
            <w:tcW w:w="6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9</w:t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Symfony CLI: поиск уязвимостей в зависимостях</w:t>
            </w:r>
          </w:p>
        </w:tc>
        <w:tc>
          <w:tcPr>
            <w:tcW w:w="56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Автоматизированная проверка рабочего окружения, проверка зависимостей проекта на уязвимости, периодические события GitHub Actions</w:t>
            </w:r>
          </w:p>
        </w:tc>
      </w:tr>
    </w:tbl>
    <w:p>
      <w:pPr>
        <w:pStyle w:val="Normal"/>
        <w:spacing w:beforeAutospacing="1" w:after="0"/>
        <w:rPr/>
      </w:pPr>
      <w:r>
        <w:rPr/>
        <w:t>В первой главе учащиеся знакомятся с протоколом SSH на прикладном уровне. Учащиеся должны сгенерировать пару ключей, настроить SSH-агент и добавить сгенерированный публичный ключ в настройки GitHub.</w:t>
      </w:r>
    </w:p>
    <w:p>
      <w:pPr>
        <w:pStyle w:val="Normal"/>
        <w:rPr/>
      </w:pPr>
      <w:r>
        <w:rPr/>
        <w:t>Во второй главе учащиеся размещают копии проекта «Symfony Demo Application» в их GitHub-репозитории.</w:t>
      </w:r>
    </w:p>
    <w:p>
      <w:pPr>
        <w:pStyle w:val="Normal"/>
        <w:rPr/>
      </w:pPr>
      <w:r>
        <w:rPr/>
        <w:t>В третьей главе учащиеся создают примитивный пайплайн. Для этого они создают новую Git-ветку, в которой будет происходить дальнейшая работа, знакомятся с основными понятиями пайплайна и создают две версии пайплайна: один, завершающийся успешно, второй – с ошибкой. Глава завершается викториной, посвящённой основным понятиям GitHub Actions (workflow, event, job, action) и основам синтаксиса конфигурационных файлов.</w:t>
      </w:r>
    </w:p>
    <w:p>
      <w:pPr>
        <w:pStyle w:val="Normal"/>
        <w:rPr/>
      </w:pPr>
      <w:r>
        <w:rPr/>
        <w:t>В четвёртой главе учащиеся настраивают кеш зависимостей проекта, предварительно установив их. Учащиеся должны добавить в пайплайн два новых шага: установку зависимостей и их кеширование.</w:t>
      </w:r>
    </w:p>
    <w:p>
      <w:pPr>
        <w:pStyle w:val="Normal"/>
        <w:rPr/>
      </w:pPr>
      <w:r>
        <w:rPr/>
        <w:t>В пятой главе учащиеся знакомятся с автоматизированными тестами на примере фреймворка «PHPUnit». Учащиеся должны добавить в пайплайн новый шаг, отвечающий за тестирование.</w:t>
      </w:r>
    </w:p>
    <w:p>
      <w:pPr>
        <w:pStyle w:val="Normal"/>
        <w:rPr/>
      </w:pPr>
      <w:r>
        <w:rPr/>
        <w:t>В шестой главе учащиеся знакомятся с линтерами как классом утилит и основами разработки action-приложений. Учащиеся должны добавить 4 однотипных шага в пайплайн; после этого они должны вынести повторяющиеся элементы в отдельное приложение и разбить одну задачу на две меньших. Глава завершается викториной; вопросы викторины посвящены структуре файлов конфигурации пайплайнов и action-приложений (язык выражений, контексты, возможные опции и т.п.).</w:t>
      </w:r>
    </w:p>
    <w:p>
      <w:pPr>
        <w:pStyle w:val="Normal"/>
        <w:rPr/>
      </w:pPr>
      <w:r>
        <w:rPr/>
        <w:t>В седьмой главе учащиеся знакомятся с классом утилит, отвечающих за проверку кода на соответствие стандартам форматирования. Учащиеся должны выпустить новую параметризованную версию action-приложения, разработанного в предыдущей главе, и добавить новый шаг в пайплайн.</w:t>
      </w:r>
    </w:p>
    <w:p>
      <w:pPr>
        <w:pStyle w:val="Normal"/>
        <w:rPr/>
      </w:pPr>
      <w:r>
        <w:rPr/>
        <w:t>В восьмой главе учащиеся знакомятся со статическими анализаторами кода. Для этого учащиеся должны установить и настроить утилиту «PHPStan» и добавить новый шаг в пайплайн.</w:t>
      </w:r>
    </w:p>
    <w:p>
      <w:pPr>
        <w:pStyle w:val="Normal"/>
        <w:rPr/>
      </w:pPr>
      <w:r>
        <w:rPr/>
        <w:t>В последней главе второго раздела учащиеся знакомятся с утилитой Symfony CLI. Учащиеся должны выпустить новую версию приложения, разработанного в шестой главе, добавив в него проверку рабочего окружения и создать новый пайплайн, запускаемый периодически, главной задачей которого является поиск уязвимостей в зависимостях проекта.</w:t>
      </w:r>
    </w:p>
    <w:p>
      <w:pPr>
        <w:pStyle w:val="Normal"/>
        <w:rPr/>
      </w:pPr>
      <w:r>
        <w:rPr/>
        <w:t>В конце раздела располагается обобщающая викторина. Вопросы этой викторины призваны закрепить все навыки, полученные в ходе освоения материалов раздела, и имеют дистинктивный характер. Последнее качество вынуждает учащихся выявить и запомнить различия между рассмотренными инструментами.</w:t>
      </w:r>
    </w:p>
    <w:p>
      <w:pPr>
        <w:pStyle w:val="Normal"/>
        <w:rPr/>
      </w:pPr>
      <w:r>
        <w:rPr/>
        <w:t>Изменения в очерёдности глав – невозможны. Порядок определён сценарием и взаимосвязью между рассматриваемыми технологиями. Например, SSH рассматривается и настраивается в самом начале, потому что учащиеся в следующих главах должны взаимодействовать с репозиториями GitHub по этому протоколу [11].</w:t>
      </w:r>
    </w:p>
    <w:p>
      <w:pPr>
        <w:pStyle w:val="Normal"/>
        <w:rPr/>
      </w:pPr>
      <w:r>
        <w:rPr/>
        <w:t>Третий раздел рассматривает непрерывную доставку и непрерывное развёртывание и также имеет практическую направленность. Со списком рассматриваемых понятий и инструментов можно ознакомиться в таблице 2.</w:t>
      </w:r>
    </w:p>
    <w:tbl>
      <w:tblPr>
        <w:tblStyle w:val="af5"/>
        <w:tblW w:w="99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0"/>
        <w:gridCol w:w="4597"/>
        <w:gridCol w:w="4357"/>
      </w:tblGrid>
      <w:tr>
        <w:trPr/>
        <w:tc>
          <w:tcPr>
            <w:tcW w:w="9914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240" w:after="24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Таблица 2 – Главы третьего раздела</w:t>
            </w:r>
          </w:p>
        </w:tc>
      </w:tr>
      <w:tr>
        <w:trPr/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Arial"/>
                <w:kern w:val="0"/>
                <w:lang w:val="ru-RU" w:eastAsia="ru-RU" w:bidi="ar-SA"/>
              </w:rPr>
              <w:t>п/п</w:t>
            </w:r>
          </w:p>
        </w:tc>
        <w:tc>
          <w:tcPr>
            <w:tcW w:w="45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Название главы</w:t>
            </w:r>
          </w:p>
        </w:tc>
        <w:tc>
          <w:tcPr>
            <w:tcW w:w="4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1</w:t>
            </w:r>
          </w:p>
        </w:tc>
        <w:tc>
          <w:tcPr>
            <w:tcW w:w="45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Подготовка сервера</w:t>
            </w:r>
          </w:p>
        </w:tc>
        <w:tc>
          <w:tcPr>
            <w:tcW w:w="4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Хостинг, ACL, Nginx, CGI (на примере PHP-FPM)</w:t>
            </w:r>
          </w:p>
        </w:tc>
      </w:tr>
      <w:tr>
        <w:trPr/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2</w:t>
            </w:r>
          </w:p>
        </w:tc>
        <w:tc>
          <w:tcPr>
            <w:tcW w:w="45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Rsync: ручная доставка</w:t>
            </w:r>
          </w:p>
        </w:tc>
        <w:tc>
          <w:tcPr>
            <w:tcW w:w="4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Rsync, GitHub Secrets, sshpass</w:t>
            </w:r>
          </w:p>
        </w:tc>
      </w:tr>
    </w:tbl>
    <w:p>
      <w:pPr>
        <w:pStyle w:val="Normal"/>
        <w:spacing w:beforeAutospacing="1" w:after="0"/>
        <w:rPr/>
      </w:pPr>
      <w:r>
        <w:rPr>
          <w:lang w:val="en-US"/>
        </w:rPr>
        <w:tab/>
      </w:r>
    </w:p>
    <w:tbl>
      <w:tblPr>
        <w:tblStyle w:val="af5"/>
        <w:tblW w:w="99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0"/>
        <w:gridCol w:w="4597"/>
        <w:gridCol w:w="4357"/>
      </w:tblGrid>
      <w:tr>
        <w:trPr/>
        <w:tc>
          <w:tcPr>
            <w:tcW w:w="9914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240" w:after="24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Продолжение т</w:t>
            </w:r>
            <w:r>
              <w:rPr>
                <w:rFonts w:eastAsia="Arial"/>
                <w:kern w:val="0"/>
                <w:lang w:val="ru-RU" w:eastAsia="ru-RU" w:bidi="ar-SA"/>
              </w:rPr>
              <w:t>аблиц</w:t>
            </w:r>
            <w:r>
              <w:rPr>
                <w:rFonts w:eastAsia="Arial"/>
                <w:kern w:val="0"/>
                <w:lang w:val="ru-RU" w:eastAsia="ru-RU" w:bidi="ar-SA"/>
              </w:rPr>
              <w:t>ы</w:t>
            </w:r>
            <w:r>
              <w:rPr>
                <w:rFonts w:eastAsia="Arial"/>
                <w:kern w:val="0"/>
                <w:lang w:val="ru-RU" w:eastAsia="ru-RU" w:bidi="ar-SA"/>
              </w:rPr>
              <w:t xml:space="preserve"> 2</w:t>
            </w:r>
          </w:p>
        </w:tc>
      </w:tr>
      <w:tr>
        <w:trPr/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 xml:space="preserve">№ </w:t>
            </w:r>
            <w:r>
              <w:rPr>
                <w:rFonts w:eastAsia="Arial"/>
                <w:kern w:val="0"/>
                <w:lang w:val="ru-RU" w:eastAsia="ru-RU" w:bidi="ar-SA"/>
              </w:rPr>
              <w:t>п/п</w:t>
            </w:r>
          </w:p>
        </w:tc>
        <w:tc>
          <w:tcPr>
            <w:tcW w:w="45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Название главы</w:t>
            </w:r>
          </w:p>
        </w:tc>
        <w:tc>
          <w:tcPr>
            <w:tcW w:w="4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Рассматриваемые инструменты и понятия</w:t>
            </w:r>
          </w:p>
        </w:tc>
      </w:tr>
      <w:tr>
        <w:trPr/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3</w:t>
            </w:r>
          </w:p>
        </w:tc>
        <w:tc>
          <w:tcPr>
            <w:tcW w:w="45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Deployer: автоматическая доставка и развёртывание</w:t>
            </w:r>
          </w:p>
        </w:tc>
        <w:tc>
          <w:tcPr>
            <w:tcW w:w="4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.env-файлы, Deployer</w:t>
            </w:r>
          </w:p>
        </w:tc>
      </w:tr>
      <w:tr>
        <w:trPr/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4</w:t>
            </w:r>
          </w:p>
        </w:tc>
        <w:tc>
          <w:tcPr>
            <w:tcW w:w="45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Теги и релизы: порядок в пайплайне</w:t>
            </w:r>
          </w:p>
        </w:tc>
        <w:tc>
          <w:tcPr>
            <w:tcW w:w="435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eastAsia="Arial"/>
                <w:kern w:val="0"/>
                <w:lang w:val="ru-RU" w:eastAsia="ru-RU" w:bidi="ar-SA"/>
              </w:rPr>
            </w:pPr>
            <w:r>
              <w:rPr>
                <w:rFonts w:eastAsia="Arial"/>
                <w:kern w:val="0"/>
                <w:lang w:val="ru-RU" w:eastAsia="ru-RU" w:bidi="ar-SA"/>
              </w:rPr>
              <w:t>GitHub flow, Personal Access Token, релизы GitHub</w:t>
            </w:r>
          </w:p>
        </w:tc>
      </w:tr>
    </w:tbl>
    <w:p>
      <w:pPr>
        <w:pStyle w:val="Normal"/>
        <w:spacing w:beforeAutospacing="1" w:after="0"/>
        <w:rPr/>
      </w:pPr>
      <w:r>
        <w:rPr/>
        <w:t>В первой главе учащиеся подготавливают сервер, на котором будет развёрнут проект. Для этого они должны подготовить хостинг, установить требуемые программы и утилиты и настроить веб-сервер Nginx (для статических файлов и CGI-скриптов) [9].</w:t>
      </w:r>
    </w:p>
    <w:p>
      <w:pPr>
        <w:pStyle w:val="Normal"/>
        <w:rPr/>
      </w:pPr>
      <w:r>
        <w:rPr/>
        <w:t>Во второй главе учащиеся загружают проект на сервер при помощи утилиты Rsync. Для этого они должны настроить секреты GitHub и добавить новую задачу, состоящую из нескольких шагов и выгружающую файлы проекта по rsync.</w:t>
      </w:r>
    </w:p>
    <w:p>
      <w:pPr>
        <w:pStyle w:val="Normal"/>
        <w:rPr/>
      </w:pPr>
      <w:r>
        <w:rPr/>
        <w:t>В третьей главе учащиеся загружают файлы на сервер в автоматизированном режиме при помощи утилиты Deployer. Учащиеся должны поменять рабочее окружение приложения, настроить утилиту Deployer и обновить задачу, добавленную в предыдущей главе. После этого учащиеся вносят изменения в файлы проекта и наблюдают автоматизированный процесс доставки и развёртывания.</w:t>
      </w:r>
    </w:p>
    <w:p>
      <w:pPr>
        <w:pStyle w:val="Normal"/>
        <w:rPr/>
      </w:pPr>
      <w:r>
        <w:rPr/>
        <w:t>В последней главе третьего раздела учащиеся автоматизируют и совершенствуют выпуск релизов приложения. Для этого они создают новый Personal Access Token, используемый при API-вызовах к GitHub, выносят процессы доставки и развёртывания в отдельный пайплайн.</w:t>
      </w:r>
    </w:p>
    <w:p>
      <w:pPr>
        <w:pStyle w:val="Normal"/>
        <w:rPr/>
      </w:pPr>
      <w:r>
        <w:rPr/>
        <w:t>В третьем разделе порядок глав также не может быть изменён. Раздел завершается викториной, вопросы которой посвящены исключительно инструментам и понятия, связанным с непрерывной доставкой и развёртыванием.</w:t>
      </w:r>
    </w:p>
    <w:p>
      <w:pPr>
        <w:pStyle w:val="Normal"/>
        <w:rPr/>
      </w:pPr>
      <w:r>
        <w:rPr/>
        <w:t>После поэтапного выполнения практических заданий второго и третьего разделов у учащихся должна получиться типовая конфигурация GitHub Actions. Получившиеся пайплайны не являются «оторванными от реальности тестовым полигонами». При разработке настоящего веб-проекта, они могут быть использованы в качестве базовой платформы или справочного материала.</w:t>
      </w:r>
    </w:p>
    <w:p>
      <w:pPr>
        <w:pStyle w:val="Titre3"/>
        <w:spacing w:before="399" w:after="399"/>
        <w:rPr/>
      </w:pPr>
      <w:bookmarkStart w:id="15" w:name="_Toc104400248"/>
      <w:r>
        <w:rPr>
          <w:color w:val="auto"/>
        </w:rPr>
        <w:t>2.2.2 Выбор технологий</w:t>
      </w:r>
      <w:bookmarkEnd w:id="15"/>
    </w:p>
    <w:p>
      <w:pPr>
        <w:pStyle w:val="Normal"/>
        <w:rPr/>
      </w:pPr>
      <w:r>
        <w:rPr/>
        <w:t>Поскольку разрабатываемый ресурс представляет собой цикл статей, применяемые технологии должны, в первую очередь, позволить набирать и редактировать текст и изображения.</w:t>
      </w:r>
    </w:p>
    <w:p>
      <w:pPr>
        <w:pStyle w:val="Normal"/>
        <w:rPr/>
      </w:pPr>
      <w:r>
        <w:rPr/>
        <w:t>Вывод содержимого статей на экран является второй важнейшей проблемой: оно содержит много примеров кода и изображений, которые должны быть корректно форматированы в любом окружении.</w:t>
      </w:r>
    </w:p>
    <w:p>
      <w:pPr>
        <w:pStyle w:val="Normal"/>
        <w:rPr/>
      </w:pPr>
      <w:r>
        <w:rPr/>
        <w:t>Также должна присутствовать возможность создавать и редактировать интерактивные викторины.</w:t>
      </w:r>
    </w:p>
    <w:p>
      <w:pPr>
        <w:pStyle w:val="Normal"/>
        <w:rPr/>
      </w:pPr>
      <w:r>
        <w:rPr/>
        <w:t>Среди ранее рассмотренных инструментов этим требованиям отвечают система управления курсами Moodle и некоторые CMS-базированные решения. Также можно разработать новое решение на базе HTML и JavaScript. Рациональность применения того или иного инструмента определяется существующими, уже задействованными при обучении, технологиями. Гораздо удобнее и быстрее будет ввести CMS-базированное решение, если система Moodle ещё не используется в организации. Так как ресурс разрабатывается не для конкретной учебной организации, а для пользования всеми желающими, будет задействовано CMS-базированное решение.</w:t>
      </w:r>
    </w:p>
    <w:p>
      <w:pPr>
        <w:pStyle w:val="Normal"/>
        <w:rPr/>
      </w:pPr>
      <w:r>
        <w:rPr/>
        <w:t xml:space="preserve">Среди всех систем управления содержимым предпочтение отдано </w:t>
      </w:r>
      <w:r>
        <w:rPr>
          <w:lang w:val="en-US"/>
        </w:rPr>
        <w:t>WordPress</w:t>
      </w:r>
      <w:r>
        <w:rPr/>
        <w:t xml:space="preserve"> по нескольким причинам. Во-первых, </w:t>
      </w:r>
      <w:r>
        <w:rPr>
          <w:lang w:val="en-US"/>
        </w:rPr>
        <w:t>WordPress</w:t>
      </w:r>
      <w:r>
        <w:rPr/>
        <w:t xml:space="preserve"> – это самая популярная CMS с открытым кодом, появившаяся сравнительно давно (в 2003 году). Популярность, открытый код и возраст продукта обеспечивают его надёжность и расширяемость [19]. Во-вторых,  </w:t>
      </w:r>
      <w:r>
        <w:rPr>
          <w:lang w:val="en-US"/>
        </w:rPr>
        <w:t>WordPress</w:t>
      </w:r>
      <w:r>
        <w:rPr/>
        <w:t xml:space="preserve"> распространяется по лицензии </w:t>
      </w:r>
      <w:r>
        <w:rPr>
          <w:lang w:val="en-US"/>
        </w:rPr>
        <w:t>GNU</w:t>
      </w:r>
      <w:r>
        <w:rPr/>
        <w:t xml:space="preserve"> </w:t>
      </w:r>
      <w:r>
        <w:rPr>
          <w:lang w:val="en-US"/>
        </w:rPr>
        <w:t>GLP</w:t>
      </w:r>
      <w:r>
        <w:rPr/>
        <w:t xml:space="preserve"> 2+, а значит может быть использован в коммерческих проектах, без раскрытия кодовой базы самого проекта.</w:t>
      </w:r>
    </w:p>
    <w:p>
      <w:pPr>
        <w:pStyle w:val="Normal"/>
        <w:rPr/>
      </w:pPr>
      <w:r>
        <w:rPr/>
        <w:t>При разработке ЭОР были изучены и опробованы возможности нескольких популярных бесплатных плагинов, добавляющих функционал системы управления обучением в WordPress. Функционал всех опробованных плагинов мало различается. Руководствуясь субъективным мнением, автор отдал предпочтение плагину «LifterLMS». Определяющими факторами для автора стали такие параметры, как возможности текстового редактора, совместимость с популярными темами и возможность импорта и экспорта содержимого курса.</w:t>
      </w:r>
    </w:p>
    <w:p>
      <w:pPr>
        <w:pStyle w:val="Normal"/>
        <w:rPr/>
      </w:pPr>
      <w:r>
        <w:rPr/>
        <w:t xml:space="preserve">Для функционирования </w:t>
      </w:r>
      <w:r>
        <w:rPr>
          <w:lang w:val="en-US"/>
        </w:rPr>
        <w:t>WordPress</w:t>
      </w:r>
      <w:r>
        <w:rPr/>
        <w:t xml:space="preserve"> необходим сервер, умеющий работать с CGI, например Apache или Nginx. Также для хранения данных проекта необходима база данных MySQL или совместимая с ней база данных MariaDB.</w:t>
      </w:r>
    </w:p>
    <w:p>
      <w:pPr>
        <w:pStyle w:val="Titre3"/>
        <w:spacing w:before="451" w:after="451"/>
        <w:rPr/>
      </w:pPr>
      <w:bookmarkStart w:id="16" w:name="_Toc104400249"/>
      <w:r>
        <w:rPr>
          <w:color w:val="auto"/>
        </w:rPr>
        <w:t>2.2.3 Структура программного проекта</w:t>
      </w:r>
      <w:bookmarkEnd w:id="16"/>
    </w:p>
    <w:p>
      <w:pPr>
        <w:pStyle w:val="Normal"/>
        <w:rPr/>
      </w:pPr>
      <w:r>
        <w:rPr/>
        <w:t xml:space="preserve">Любой проект, построенный на базе </w:t>
      </w:r>
      <w:r>
        <w:rPr>
          <w:lang w:val="en-US"/>
        </w:rPr>
        <w:t>WordPress</w:t>
      </w:r>
      <w:r>
        <w:rPr/>
        <w:t xml:space="preserve">, представляет собой набор PHP-скриптов. Поэтому установка </w:t>
      </w:r>
      <w:r>
        <w:rPr>
          <w:lang w:val="en-US"/>
        </w:rPr>
        <w:t>WordPress</w:t>
      </w:r>
      <w:r>
        <w:rPr/>
        <w:t xml:space="preserve"> сводится к распаковке архива с исходным кодом проекта и запуску сервера, корневая директория которого указывает на распакованный дистрибутив. При этом необходимо учесть права доступа: у сервера должен быть доступ на чтение и запись ко всему содержимому распакованного архива.</w:t>
      </w:r>
    </w:p>
    <w:p>
      <w:pPr>
        <w:pStyle w:val="Normal"/>
        <w:rPr/>
      </w:pPr>
      <w:r>
        <w:rPr/>
        <w:t xml:space="preserve">Наполнение ресурса и модификация его содержимого не требуют вмешательства в исходный код проекта: файлы и их содержимое регулируются системой </w:t>
      </w:r>
      <w:r>
        <w:rPr>
          <w:lang w:val="en-US"/>
        </w:rPr>
        <w:t>WordPress</w:t>
      </w:r>
      <w:r>
        <w:rPr/>
        <w:t xml:space="preserve">. Отсюда следует, что структура программного проекта представляет собой распакованное содержимое архива, базу данных и CGI-сервер. </w:t>
      </w:r>
    </w:p>
    <w:p>
      <w:pPr>
        <w:pStyle w:val="Titre2"/>
        <w:spacing w:before="451" w:after="451"/>
        <w:rPr>
          <w:sz w:val="28"/>
          <w:szCs w:val="28"/>
        </w:rPr>
      </w:pPr>
      <w:bookmarkStart w:id="17" w:name="_Toc104400250"/>
      <w:r>
        <w:rPr>
          <w:sz w:val="28"/>
          <w:szCs w:val="28"/>
        </w:rPr>
        <w:t>2.3 Создание ЭОР</w:t>
      </w:r>
      <w:bookmarkEnd w:id="17"/>
    </w:p>
    <w:p>
      <w:pPr>
        <w:pStyle w:val="Normal"/>
        <w:rPr/>
      </w:pPr>
      <w:r>
        <w:rPr/>
        <w:t>Для реализации разработанного проекта электронного образовательного ресурса необходимо подготовить рабочее окружение и наполнить ресурс содержимым.</w:t>
      </w:r>
    </w:p>
    <w:p>
      <w:pPr>
        <w:pStyle w:val="Titre3"/>
        <w:spacing w:before="454" w:after="454"/>
        <w:rPr/>
      </w:pPr>
      <w:bookmarkStart w:id="18" w:name="_Toc104400251"/>
      <w:r>
        <w:rPr>
          <w:color w:val="auto"/>
        </w:rPr>
        <w:t>2.3.1 Подготовка рабочего окружения</w:t>
      </w:r>
      <w:bookmarkEnd w:id="18"/>
    </w:p>
    <w:p>
      <w:pPr>
        <w:pStyle w:val="Normal"/>
        <w:rPr/>
      </w:pPr>
      <w:r>
        <w:rPr>
          <w:lang w:val="en-US"/>
        </w:rPr>
        <w:t>WordPress</w:t>
      </w:r>
      <w:r>
        <w:rPr/>
        <w:t xml:space="preserve"> известен своей «лёгкой установкой за 5 минут». Многие веб-хостинги предлагают готовые инструменты для автоматической установки </w:t>
      </w:r>
      <w:r>
        <w:rPr>
          <w:lang w:val="en-US"/>
        </w:rPr>
        <w:t>WordPress</w:t>
      </w:r>
      <w:r>
        <w:rPr/>
        <w:t>, например, Fantastico. Поскольку разрабатываемый ресурс не полагается на сторонний хостинг и должен быть готов к развёртыванию в любом окружении, будет проведена ручная установка и настройка.</w:t>
      </w:r>
    </w:p>
    <w:p>
      <w:pPr>
        <w:pStyle w:val="Normal"/>
        <w:rPr/>
      </w:pPr>
      <w:r>
        <w:rPr/>
        <w:t>Перед установкой необходимо проверить сервер на соответствие минимальным системным требованиям.</w:t>
      </w:r>
    </w:p>
    <w:p>
      <w:pPr>
        <w:pStyle w:val="Normal"/>
        <w:rPr/>
      </w:pPr>
      <w:r>
        <w:rPr/>
        <w:t>Установка состоит из следующих этапов:</w:t>
      </w:r>
    </w:p>
    <w:p>
      <w:pPr>
        <w:pStyle w:val="Normal"/>
        <w:rPr/>
      </w:pPr>
      <w:r>
        <w:rPr/>
        <w:t xml:space="preserve">1. Скачать и распаковать дистрибутив </w:t>
      </w:r>
      <w:r>
        <w:rPr>
          <w:lang w:val="en-US"/>
        </w:rPr>
        <w:t>WordPress</w:t>
      </w:r>
      <w:r>
        <w:rPr/>
        <w:t>.</w:t>
      </w:r>
    </w:p>
    <w:p>
      <w:pPr>
        <w:pStyle w:val="Normal"/>
        <w:rPr/>
      </w:pPr>
      <w:r>
        <w:rPr/>
        <w:t xml:space="preserve">2. Создать базу данных для </w:t>
      </w:r>
      <w:r>
        <w:rPr>
          <w:lang w:val="en-US"/>
        </w:rPr>
        <w:t>WordPress</w:t>
      </w:r>
      <w:r>
        <w:rPr/>
        <w:t>.</w:t>
      </w:r>
    </w:p>
    <w:p>
      <w:pPr>
        <w:pStyle w:val="Normal"/>
        <w:rPr/>
      </w:pPr>
      <w:r>
        <w:rPr/>
        <w:t>3. Переименовать (переместить) файл «wp-config-sample.php» в файл «wp-config.php».</w:t>
      </w:r>
    </w:p>
    <w:p>
      <w:pPr>
        <w:pStyle w:val="Normal"/>
        <w:rPr/>
      </w:pPr>
      <w:r>
        <w:rPr/>
        <w:t>4. Открыв «wp-config.php» в текстовом редакторе, задать настройки подключения к базе данных.</w:t>
      </w:r>
    </w:p>
    <w:p>
      <w:pPr>
        <w:pStyle w:val="Normal"/>
        <w:rPr/>
      </w:pPr>
      <w:r>
        <w:rPr/>
        <w:t>5. Разместить файлы дистрибутива на сервере.</w:t>
      </w:r>
    </w:p>
    <w:p>
      <w:pPr>
        <w:pStyle w:val="Normal"/>
        <w:rPr/>
      </w:pPr>
      <w:r>
        <w:rPr/>
        <w:t>6. Перейти по пути wp-admin/install.php (например, http://example.com/wp-admin/install.php).</w:t>
      </w:r>
    </w:p>
    <w:p>
      <w:pPr>
        <w:pStyle w:val="Normal"/>
        <w:rPr/>
      </w:pPr>
      <w:r>
        <w:rPr/>
        <w:t>7. Следовать дальнейшим инструкциям.</w:t>
      </w:r>
    </w:p>
    <w:p>
      <w:pPr>
        <w:pStyle w:val="Normal"/>
        <w:rPr/>
      </w:pPr>
      <w:r>
        <w:rPr/>
        <w:t>После настройки дистрибутива необходимо установить плагин «LifterLMS». Для этого нужно воспользоваться магазином расширений: перейти по пути «wp-admin/plugin-install.php», найти плагин (с помощью меню поиска или вручную) и следовать дальнейшим инструкциям по установке.</w:t>
      </w:r>
    </w:p>
    <w:p>
      <w:pPr>
        <w:pStyle w:val="Normal"/>
        <w:rPr/>
      </w:pPr>
      <w:r>
        <w:rPr/>
        <w:t xml:space="preserve">По умолчанию блоки с примерами кода в </w:t>
      </w:r>
      <w:r>
        <w:rPr>
          <w:lang w:val="en-US"/>
        </w:rPr>
        <w:t>WordPress</w:t>
      </w:r>
      <w:r>
        <w:rPr/>
        <w:t xml:space="preserve"> имеют скудное форматирование: в блоках сохраняются отступы, и к ним применяется моноширинный шрифт; при этом отсутствует подсветка синтаксиса, условное форматирование, индикации используемого языка и т.п. Значительно улучшить представление кода можно при помощи плагинов. Поэтому был установлен плагин «Prismatic», отвечающий за условное форматирование. В качестве библиотеки форматирования используется «prism.js». </w:t>
      </w:r>
    </w:p>
    <w:p>
      <w:pPr>
        <w:pStyle w:val="Titre3"/>
        <w:spacing w:before="394" w:after="394"/>
        <w:rPr/>
      </w:pPr>
      <w:bookmarkStart w:id="19" w:name="_Toc104400252"/>
      <w:r>
        <w:rPr>
          <w:color w:val="auto"/>
        </w:rPr>
        <w:t>2.3.2 Наполнение ресурса</w:t>
      </w:r>
      <w:bookmarkEnd w:id="19"/>
    </w:p>
    <w:p>
      <w:pPr>
        <w:pStyle w:val="Normal"/>
        <w:rPr/>
      </w:pPr>
      <w:r>
        <w:rPr/>
        <w:t>После установки плагина «LifterLMS» выводится форма, предлагающая создать новый или импортировать уже существующий курс. Создать курс можно в любое другое время, воспользовавшись панелью администрирования и разделом «Courses».</w:t>
      </w:r>
    </w:p>
    <w:p>
      <w:pPr>
        <w:pStyle w:val="Normal"/>
        <w:rPr/>
      </w:pPr>
      <w:r>
        <w:rPr/>
        <w:t>Каждый курс должен иметь один или несколько тарифных планов. Управление планам осуществляется в настройках курсах, которые выводятся в самом низу экрана при редактировании (см. рисунок 2).</w:t>
      </w:r>
    </w:p>
    <w:p>
      <w:pPr>
        <w:pStyle w:val="Normal"/>
        <w:spacing w:before="171" w:after="171"/>
        <w:jc w:val="center"/>
        <w:rPr/>
      </w:pPr>
      <w:r>
        <w:rPr/>
        <w:t>Р</w:t>
      </w:r>
      <w:r>
        <w:drawing>
          <wp:anchor behindDoc="0" distT="0" distB="0" distL="114300" distR="0" simplePos="0" locked="0" layoutInCell="0" allowOverlap="1" relativeHeight="4">
            <wp:simplePos x="0" y="0"/>
            <wp:positionH relativeFrom="margin">
              <wp:align>center</wp:align>
            </wp:positionH>
            <wp:positionV relativeFrom="paragraph">
              <wp:posOffset>-3810</wp:posOffset>
            </wp:positionV>
            <wp:extent cx="4806950" cy="2603500"/>
            <wp:effectExtent l="0" t="0" r="0" b="0"/>
            <wp:wrapTopAndBottom/>
            <wp:docPr id="3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исунок 2 – Управление тарифными планами курса</w:t>
      </w:r>
    </w:p>
    <w:p>
      <w:pPr>
        <w:pStyle w:val="Normal"/>
        <w:rPr/>
      </w:pPr>
      <w:r>
        <w:rPr/>
        <w:t>Так как курс должен быть доступен всем, необходимо создать бесплатный план доступа, на который может записаться любой пользователь: выбрать значение «Anyone» в опции «Plan Availability» и выставить флаг «Is Free».</w:t>
      </w:r>
    </w:p>
    <w:p>
      <w:pPr>
        <w:pStyle w:val="Normal"/>
        <w:rPr/>
      </w:pPr>
      <w:r>
        <w:rPr/>
        <w:t>Создание разделов и глав осуществляется при помощи редактора курса (Builder). В соответствии с разработанным планом были созданы три раздела (см. рисунок 3).</w:t>
      </w:r>
    </w:p>
    <w:p>
      <w:pPr>
        <w:pStyle w:val="Normal"/>
        <w:spacing w:before="228" w:after="228"/>
        <w:jc w:val="center"/>
        <w:rPr/>
      </w:pPr>
      <w:r>
        <w:drawing>
          <wp:anchor behindDoc="0" distT="0" distB="0" distL="114300" distR="0" simplePos="0" locked="0" layoutInCell="0" allowOverlap="1" relativeHeight="5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5834380" cy="3366135"/>
            <wp:effectExtent l="0" t="0" r="0" b="0"/>
            <wp:wrapTopAndBottom/>
            <wp:docPr id="4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38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Рисунок 3 – Разделы курса</w:t>
      </w:r>
    </w:p>
    <w:p>
      <w:pPr>
        <w:pStyle w:val="Normal"/>
        <w:rPr/>
      </w:pPr>
      <w:r>
        <w:rPr/>
        <w:t>Также в соответствии с разработанным планом, в каждом разделе были созданы главы (см. рисунок 4).</w:t>
      </w:r>
    </w:p>
    <w:p>
      <w:pPr>
        <w:pStyle w:val="Normal"/>
        <w:spacing w:before="228" w:after="228"/>
        <w:jc w:val="center"/>
        <w:rPr/>
      </w:pPr>
      <w:r>
        <w:drawing>
          <wp:anchor behindDoc="0" distT="0" distB="0" distL="11430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20320</wp:posOffset>
            </wp:positionV>
            <wp:extent cx="5082540" cy="3265805"/>
            <wp:effectExtent l="0" t="0" r="0" b="0"/>
            <wp:wrapTopAndBottom/>
            <wp:docPr id="5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26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Рисунок 4 – Главы второго раздела</w:t>
      </w:r>
    </w:p>
    <w:p>
      <w:pPr>
        <w:pStyle w:val="Normal"/>
        <w:rPr/>
      </w:pPr>
      <w:r>
        <w:rPr/>
        <w:t>Каждую главу можно открыть в WYSIWYG-редакторе. Редактор позволяет удобно и быстро набирать текст, добавлять изображения, ссылки, видео и прочие материалы.</w:t>
      </w:r>
    </w:p>
    <w:p>
      <w:pPr>
        <w:pStyle w:val="Normal"/>
        <w:rPr/>
      </w:pPr>
      <w:r>
        <w:rPr/>
        <w:t xml:space="preserve">Во время написания статей автор руководствовался принципами, выработанными создателями серии книг и руководств </w:t>
      </w:r>
      <w:r>
        <w:rPr>
          <w:lang w:val="en-US"/>
        </w:rPr>
        <w:t>Head</w:t>
      </w:r>
      <w:r>
        <w:rPr/>
        <w:t xml:space="preserve"> </w:t>
      </w:r>
      <w:r>
        <w:rPr>
          <w:lang w:val="en-US"/>
        </w:rPr>
        <w:t>First</w:t>
      </w:r>
      <w:r>
        <w:rPr/>
        <w:t>, а именно:</w:t>
      </w:r>
    </w:p>
    <w:p>
      <w:pPr>
        <w:pStyle w:val="Normal"/>
        <w:rPr/>
      </w:pPr>
      <w:r>
        <w:rPr/>
        <w:t>1. Разговорный стиль и персонификация. Исследования показывают [15], что студенты лучше усваивают материал и справляются с итоговыми тестами на 40% эффективнее, если учебные материалы, с которыми они работали, были написаны от первого лица с применением разговорного стиля вместо официального.</w:t>
      </w:r>
    </w:p>
    <w:p>
      <w:pPr>
        <w:pStyle w:val="Normal"/>
        <w:rPr/>
      </w:pPr>
      <w:r>
        <w:rPr/>
        <w:t>2. Попытка сделать так, чтобы читатель более глубоко вник в содержимое. Читатель должен быть мотивирован, заинтересован и вдохновлен, чтобы решать проблемы, делать выводы и усваивать новый материал. Для этого необходимо использовать упражнения и вопросы, вынуждающие студента задуматься и самостоятельно искать решение; при этом новые знания должны плавно вытекать из полученных ранее.</w:t>
      </w:r>
    </w:p>
    <w:p>
      <w:pPr>
        <w:pStyle w:val="Normal"/>
        <w:rPr/>
      </w:pPr>
      <w:r>
        <w:rPr/>
        <w:t>3. Завоевание и удержания внимания читателя. Изучение нового технического сложного материала проходит намного легче, если читатель заинтересован, и ему не скучно.</w:t>
      </w:r>
    </w:p>
    <w:p>
      <w:pPr>
        <w:pStyle w:val="Normal"/>
        <w:rPr/>
      </w:pPr>
      <w:r>
        <w:rPr/>
        <w:t>4. Эмоции. Способность к запоминанию чего-либо зависит от эмоциональной составляющей. Читатель запоминает то, что для него важно; он должен чувствовать удовлетворение от проделанной работы или решённой головоломки.</w:t>
      </w:r>
    </w:p>
    <w:p>
      <w:pPr>
        <w:pStyle w:val="Normal"/>
        <w:rPr/>
      </w:pPr>
      <w:r>
        <w:rPr/>
        <w:t>5. Закон Парето (принцип 80/20). Предлагаемый материал не должен быть единственным; он не должен покрывать все возможные темы и связанные проблемы.</w:t>
      </w:r>
    </w:p>
    <w:p>
      <w:pPr>
        <w:pStyle w:val="Normal"/>
        <w:rPr/>
      </w:pPr>
      <w:r>
        <w:rPr/>
        <w:t>В редакторе курса также можно добавлять и редактировать викторины (см. рисунок 5).</w:t>
      </w:r>
    </w:p>
    <w:p>
      <w:pPr>
        <w:pStyle w:val="Normal"/>
        <w:spacing w:beforeAutospacing="1" w:afterAutospacing="1"/>
        <w:jc w:val="center"/>
        <w:rPr/>
      </w:pPr>
      <w:r>
        <w:drawing>
          <wp:anchor behindDoc="0" distT="0" distB="0" distL="114300" distR="114300" simplePos="0" locked="0" layoutInCell="0" allowOverlap="1" relativeHeight="7">
            <wp:simplePos x="0" y="0"/>
            <wp:positionH relativeFrom="column">
              <wp:posOffset>451485</wp:posOffset>
            </wp:positionH>
            <wp:positionV relativeFrom="paragraph">
              <wp:posOffset>1905</wp:posOffset>
            </wp:positionV>
            <wp:extent cx="5940425" cy="3816350"/>
            <wp:effectExtent l="0" t="0" r="0" b="0"/>
            <wp:wrapTopAndBottom/>
            <wp:docPr id="6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Рисунок 5 – Редактор викторин</w:t>
      </w:r>
    </w:p>
    <w:p>
      <w:pPr>
        <w:pStyle w:val="Normal"/>
        <w:rPr/>
      </w:pPr>
      <w:r>
        <w:rPr/>
        <w:t>В соответствии с разработанным планом были созданы викторины.</w:t>
      </w:r>
    </w:p>
    <w:p>
      <w:pPr>
        <w:pStyle w:val="Titre3"/>
        <w:spacing w:before="451" w:after="451"/>
        <w:rPr/>
      </w:pPr>
      <w:bookmarkStart w:id="20" w:name="_Toc104400253"/>
      <w:r>
        <w:rPr>
          <w:color w:val="auto"/>
        </w:rPr>
        <w:t>2.3.3 Введение стимулирующих элементов</w:t>
      </w:r>
      <w:bookmarkEnd w:id="20"/>
    </w:p>
    <w:p>
      <w:pPr>
        <w:pStyle w:val="Normal"/>
        <w:rPr/>
      </w:pPr>
      <w:r>
        <w:rPr/>
        <w:t>В исследованиях [20] отмечается, что правильно интегрированные в процесс обучения игровые технологии положительно сказываются на его результатах. Это достигается за счёт нескольких факторов:</w:t>
      </w:r>
    </w:p>
    <w:p>
      <w:pPr>
        <w:pStyle w:val="Normal"/>
        <w:numPr>
          <w:ilvl w:val="0"/>
          <w:numId w:val="4"/>
        </w:numPr>
        <w:rPr/>
      </w:pPr>
      <w:r>
        <w:rPr/>
        <w:t>Учащиеся подвигаются к критическому мышлению и всестороннему рассмотрению изучаемого предмета.</w:t>
      </w:r>
    </w:p>
    <w:p>
      <w:pPr>
        <w:pStyle w:val="Normal"/>
        <w:numPr>
          <w:ilvl w:val="0"/>
          <w:numId w:val="4"/>
        </w:numPr>
        <w:rPr/>
      </w:pPr>
      <w:r>
        <w:rPr/>
        <w:t>Учащиеся выявляют ошибки и корректируют их, таким образом вырабатывая адекватные модели поведения в проблемных ситуациях.</w:t>
      </w:r>
    </w:p>
    <w:p>
      <w:pPr>
        <w:pStyle w:val="Normal"/>
        <w:numPr>
          <w:ilvl w:val="0"/>
          <w:numId w:val="4"/>
        </w:numPr>
        <w:rPr/>
      </w:pPr>
      <w:r>
        <w:rPr/>
        <w:t>Учащиеся социализируются, пытаясь решить проблемы в группе.</w:t>
      </w:r>
    </w:p>
    <w:p>
      <w:pPr>
        <w:pStyle w:val="Normal"/>
        <w:numPr>
          <w:ilvl w:val="0"/>
          <w:numId w:val="4"/>
        </w:numPr>
        <w:rPr/>
      </w:pPr>
      <w:r>
        <w:rPr/>
        <w:t>Учащиеся проецируют проблему в реальную жизненную ситуацию.</w:t>
      </w:r>
    </w:p>
    <w:p>
      <w:pPr>
        <w:pStyle w:val="Normal"/>
        <w:rPr/>
      </w:pPr>
      <w:r>
        <w:rPr/>
        <w:t>Внедрение игровых стимулирующих элементов в процесс обучения называется геймификацией. При этом структура ЭОР и используемые инструменты определяет возможные способы геймификации [12].</w:t>
      </w:r>
    </w:p>
    <w:p>
      <w:pPr>
        <w:pStyle w:val="Normal"/>
        <w:rPr/>
      </w:pPr>
      <w:r>
        <w:rPr/>
        <w:t>В уже разработанную структуру курса можно привнести игровые элементы. Разделы и главы курса формируют единую сущность, при этом сложность материала последовательно возрастает. Неформальные игровые элементы, например, отслеживание прогресса, выступают в качестве награды и стимулируют учащихся к скрупулёзному освоению материала, находящему отражение в высоких показателях статистики.</w:t>
      </w:r>
    </w:p>
    <w:p>
      <w:pPr>
        <w:pStyle w:val="Normal"/>
        <w:rPr/>
      </w:pPr>
      <w:r>
        <w:rPr/>
        <w:t>Плагин «LifterLMS» предлагает элементы геймификации. Без установки дополнительных расширений доступна система бейджей, прогресса и сертификатов (см. рисунок 6). При этом возможности геймификации и стимулирования можно расширить при помощи других плагинов, например, плагин «myCred – LifterLMS Integration» добавляет бальную систему и расширяет систему прогресса, а плагин «LifterLMS integration» от GamiPress расширяет возможности викторин.</w:t>
      </w:r>
    </w:p>
    <w:p>
      <w:pPr>
        <w:pStyle w:val="Normal"/>
        <w:spacing w:before="228" w:after="228"/>
        <w:jc w:val="center"/>
        <w:rPr/>
      </w:pP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964940" cy="2977515"/>
            <wp:effectExtent l="0" t="0" r="0" b="0"/>
            <wp:wrapTopAndBottom/>
            <wp:docPr id="7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940" cy="297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Рисунок 6 — Система отслеживания прогресса «LifterLMS»</w:t>
      </w:r>
    </w:p>
    <w:p>
      <w:pPr>
        <w:pStyle w:val="Titre2"/>
        <w:spacing w:before="451" w:after="451"/>
        <w:rPr>
          <w:sz w:val="28"/>
          <w:szCs w:val="28"/>
        </w:rPr>
      </w:pPr>
      <w:bookmarkStart w:id="21" w:name="_Toc104400254"/>
      <w:r>
        <w:rPr>
          <w:sz w:val="28"/>
          <w:szCs w:val="28"/>
        </w:rPr>
        <w:t>2.4 Контейнеризация ресурса</w:t>
      </w:r>
      <w:bookmarkEnd w:id="21"/>
    </w:p>
    <w:p>
      <w:pPr>
        <w:pStyle w:val="Normal"/>
        <w:rPr>
          <w:color w:val="000000"/>
        </w:rPr>
      </w:pPr>
      <w:r>
        <w:rPr>
          <w:color w:val="000000"/>
        </w:rPr>
        <w:t>Контейнеризация (виртуализация на уровне ОС) – технология, которая позволяет запускать программное обеспечение в изолированных на уровне операционной системы пространствах. Контейнеры являются наиболее распространённой формой виртуализации на уровне ОС. С помощью контейнеров можно запустить несколько приложений на одном сервере (хостовой машине), изолируя их друг от друга. Каждый контейнер может вмещать полноценное веб-приложение или службу.</w:t>
      </w:r>
    </w:p>
    <w:p>
      <w:pPr>
        <w:pStyle w:val="Normal"/>
        <w:rPr>
          <w:color w:val="000000"/>
        </w:rPr>
      </w:pPr>
      <w:r>
        <w:rPr>
          <w:color w:val="000000"/>
        </w:rPr>
        <w:t>Изначально стояла задача разработать электронный образовательный ресурс, который при необходимости можно копировать и перенести в другой рабочее окружение. При этом развёртывание должно происходить в полностью автоматическом режиме. Следовательно, необходимо контейнеризировать разрабатываемый ресурс.</w:t>
      </w:r>
    </w:p>
    <w:p>
      <w:pPr>
        <w:pStyle w:val="Normal"/>
        <w:rPr/>
      </w:pPr>
      <w:r>
        <w:rPr/>
        <w:t xml:space="preserve">Для функционирования </w:t>
      </w:r>
      <w:r>
        <w:rPr>
          <w:lang w:val="en-US"/>
        </w:rPr>
        <w:t>WordPress</w:t>
      </w:r>
      <w:r>
        <w:rPr/>
        <w:t>-проекту необходим CGI-сервер и база данных, совместимая с MySQL (непосредственно MySQL или MariaDB).</w:t>
      </w:r>
    </w:p>
    <w:p>
      <w:pPr>
        <w:pStyle w:val="Normal"/>
        <w:rPr/>
      </w:pPr>
      <w:r>
        <w:rPr/>
        <w:t xml:space="preserve">Перенос кодовой базы проекта не вызывает трудностей: всё содержимое директории с проектом можно хранить в системе контроля версий; также </w:t>
      </w:r>
      <w:r>
        <w:rPr>
          <w:lang w:val="en-US"/>
        </w:rPr>
        <w:t>WordPress</w:t>
      </w:r>
      <w:r>
        <w:rPr/>
        <w:t>-проект можно установить и настроить автоматически при помощи инструмента «wp-cli». Но электронный образовательный ресурс – это, в первую очередь, данные. Всё текстовое содержимое статей и некоторые настройки проекта хранятся в базе данных; поэтому содержимое базы данных также должно быть доступно для переноса. В этом случае механизм дампов является единственным возможным способом перенести всё содержимое из одной базы данных в другую. Поэтому дамп базы данных также должен храниться в системе контроля версий.</w:t>
      </w:r>
    </w:p>
    <w:p>
      <w:pPr>
        <w:pStyle w:val="Normal"/>
        <w:rPr/>
      </w:pPr>
      <w:r>
        <w:rPr/>
        <w:t>Таким образом, разрабатываемому ресурсу для функционирования требуются два внешних инструмента:</w:t>
      </w:r>
    </w:p>
    <w:p>
      <w:pPr>
        <w:pStyle w:val="Normal"/>
        <w:rPr/>
      </w:pPr>
      <w:r>
        <w:rPr/>
        <w:t>1. CGI-сервер;</w:t>
      </w:r>
    </w:p>
    <w:p>
      <w:pPr>
        <w:pStyle w:val="Normal"/>
        <w:rPr/>
      </w:pPr>
      <w:r>
        <w:rPr/>
        <w:t>2. База данных, совместимая с MySQL.</w:t>
      </w:r>
    </w:p>
    <w:p>
      <w:pPr>
        <w:pStyle w:val="Normal"/>
        <w:rPr/>
      </w:pPr>
      <w:r>
        <w:rPr/>
        <w:t>При первом развёртывании также необходимо выполнить серию скриптов, загружающих дамп базы данных.</w:t>
      </w:r>
    </w:p>
    <w:p>
      <w:pPr>
        <w:pStyle w:val="Normal"/>
        <w:rPr/>
      </w:pPr>
      <w:r>
        <w:rPr/>
        <w:t>На сегодняшний день Docker является наиболее популярным инструментом для контейнеризации. Docker основан на системе виртуализации Linux (LXC) и, по сути, является более удобным интерфейсом к низкоуровнему сервису.</w:t>
      </w:r>
    </w:p>
    <w:p>
      <w:pPr>
        <w:pStyle w:val="Normal"/>
        <w:rPr/>
      </w:pPr>
      <w:r>
        <w:rPr/>
        <w:t>Всегда возможны два варианта контейнеризации:</w:t>
      </w:r>
    </w:p>
    <w:p>
      <w:pPr>
        <w:pStyle w:val="Normal"/>
        <w:rPr/>
      </w:pPr>
      <w:r>
        <w:rPr/>
        <w:t>1. Упаковка нескольких инструментов в один контейнер;</w:t>
      </w:r>
    </w:p>
    <w:p>
      <w:pPr>
        <w:pStyle w:val="Normal"/>
        <w:rPr/>
      </w:pPr>
      <w:r>
        <w:rPr/>
        <w:t>2. Оркестрация нескольких контейнеров, каждый из которых отвечает за одну составляющую системы.</w:t>
      </w:r>
    </w:p>
    <w:p>
      <w:pPr>
        <w:pStyle w:val="Normal"/>
        <w:rPr/>
      </w:pPr>
      <w:r>
        <w:rPr/>
        <w:t>Руководствуясь принципом единственной ответственности (каждая сущность должна иметь одну ответственность и эта ответственность должна быть полностью инкапсулирована в ней), можно утверждать, что предпочтение следует отдать второму варианту.</w:t>
      </w:r>
    </w:p>
    <w:p>
      <w:pPr>
        <w:pStyle w:val="Normal"/>
        <w:rPr/>
      </w:pPr>
      <w:r>
        <w:rPr/>
        <w:t>Конфигурация Docker Compose, описывающая контейнеры ЭОР, содержится в файле «docker-compose.yaml» (см. приложение №1). Переменные окружения, с которыми по умолчанию загружаются контейнеры, располагаются в файле «.env» (см. приложение №2).</w:t>
      </w:r>
    </w:p>
    <w:p>
      <w:pPr>
        <w:pStyle w:val="Normal"/>
        <w:rPr/>
      </w:pPr>
      <w:r>
        <w:rPr/>
        <w:t>В качестве CGI-сервера используется веб-сервер Apache (контейнер «</w:t>
      </w:r>
      <w:r>
        <w:rPr>
          <w:lang w:val="en-US"/>
        </w:rPr>
        <w:t>WordPress</w:t>
      </w:r>
      <w:r>
        <w:rPr/>
        <w:t>»).</w:t>
      </w:r>
    </w:p>
    <w:p>
      <w:pPr>
        <w:pStyle w:val="Normal"/>
        <w:rPr/>
      </w:pPr>
      <w:r>
        <w:rPr/>
        <w:t>В качестве базы данных используется СУБД MySQL (контейнер «db»).</w:t>
      </w:r>
    </w:p>
    <w:p>
      <w:pPr>
        <w:pStyle w:val="Normal"/>
        <w:rPr/>
      </w:pPr>
      <w:r>
        <w:rPr/>
        <w:t xml:space="preserve">Дистрибутив </w:t>
      </w:r>
      <w:r>
        <w:rPr>
          <w:lang w:val="en-US"/>
        </w:rPr>
        <w:t>WordPress</w:t>
      </w:r>
      <w:r>
        <w:rPr/>
        <w:t>, и в том числе, загруженные файлы, загружаются из директории «app». Дамп базы данных автоматически загружается при первом запуске контейнеров. Содержимое базы данных контролируется Docker и хранится в Docker-томе «db_data». Для развёртывания копии ресурса достаточно воспользоваться командой «docker-compose up». При этом необходимо обратить особое внимание на загруженные в контейнеры данные: сменить пароль и доменное имя.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22" w:name="_Toc104400255"/>
      <w:r>
        <w:rPr>
          <w:sz w:val="28"/>
          <w:szCs w:val="28"/>
        </w:rPr>
        <w:t>ЗАКЛЮЧЕНИЕ</w:t>
      </w:r>
      <w:bookmarkEnd w:id="22"/>
    </w:p>
    <w:p>
      <w:pPr>
        <w:pStyle w:val="Normal"/>
        <w:rPr/>
      </w:pPr>
      <w:r>
        <w:rPr/>
        <w:t>В данной работе было проведено исследование возможностей применения компьютерных и цифровых технологий в обучении, в частности, - возможность разработки электронного образовательного ресурса практической направленности, предназначенного для изучения практик CI/CD в среде GitHub.</w:t>
      </w:r>
    </w:p>
    <w:p>
      <w:pPr>
        <w:pStyle w:val="Normal"/>
        <w:rPr/>
      </w:pPr>
      <w:r>
        <w:rPr/>
        <w:t>Цель данной работы заключалась в разработке электронного образовательного ресурса «Использование GitHub как системы для непрерывной интеграции и развёртывания современного веб-проекта», готового к быстрому развёртыванию в виде Docker-приложения.</w:t>
      </w:r>
    </w:p>
    <w:p>
      <w:pPr>
        <w:pStyle w:val="Normal"/>
        <w:rPr/>
      </w:pPr>
      <w:r>
        <w:rPr/>
        <w:t>Для достижения поставленной цели было сделано следующее:</w:t>
      </w:r>
    </w:p>
    <w:p>
      <w:pPr>
        <w:pStyle w:val="ListParagraph"/>
        <w:numPr>
          <w:ilvl w:val="0"/>
          <w:numId w:val="3"/>
        </w:numPr>
        <w:rPr/>
      </w:pPr>
      <w:r>
        <w:rPr/>
        <w:t>Изучена сущность понятия «электронный образовательный ресурс», классификация электронных образовательных ресурсов и особенности их разработки.</w:t>
      </w:r>
    </w:p>
    <w:p>
      <w:pPr>
        <w:pStyle w:val="ListParagraph"/>
        <w:numPr>
          <w:ilvl w:val="0"/>
          <w:numId w:val="3"/>
        </w:numPr>
        <w:rPr/>
      </w:pPr>
      <w:r>
        <w:rPr/>
        <w:t>Проведён анализ существующих инструментов, предназначенных для разработки электронных образовательных ресурсов.</w:t>
      </w:r>
    </w:p>
    <w:p>
      <w:pPr>
        <w:pStyle w:val="ListParagraph"/>
        <w:numPr>
          <w:ilvl w:val="0"/>
          <w:numId w:val="3"/>
        </w:numPr>
        <w:rPr/>
      </w:pPr>
      <w:r>
        <w:rPr/>
        <w:t>Адаптированы требования к электронному образовательному ресурсу с учётом особенностей методологий CI/CD. В частности, был разработан план курса практической направленности: курс предполагает поэтапное освоение инструментов, используемых в типовых CI/CD пайплайнах, на примере современного веб-проекта.</w:t>
      </w:r>
    </w:p>
    <w:p>
      <w:pPr>
        <w:pStyle w:val="ListParagraph"/>
        <w:numPr>
          <w:ilvl w:val="0"/>
          <w:numId w:val="3"/>
        </w:numPr>
        <w:rPr/>
      </w:pPr>
      <w:r>
        <w:rPr/>
        <w:t>Спроектирован электронный образовательный ресурс «Использование GitHub как системы для непрерывной интеграции и развёртывания современного веб-проекта». Для этого с учётом адаптированных требований были выбраны и настроены инструменты, предназначенные для разработки ЭОР: CMS «WordPress», дополненная плагинами «LifterLMS» и «Prismatic».</w:t>
      </w:r>
    </w:p>
    <w:p>
      <w:pPr>
        <w:pStyle w:val="ListParagraph"/>
        <w:numPr>
          <w:ilvl w:val="0"/>
          <w:numId w:val="3"/>
        </w:numPr>
        <w:rPr/>
      </w:pPr>
      <w:r>
        <w:rPr/>
        <w:t>В соответствии с планом создан электронный образовательный ресурс «Использование GitHub как системы для непрерывной интеграции и развёртывания современного веб-проекта». Содержимое ресурса было создано при помощи CMS и плагинов. Данные хранятся в базе данных «MySQL». Приложение было упаковано в Docker-контейнер. Проект версионируется при помощи Git и хранится в онлайн репозитории: https://git.herzen.spb.ru/180027/ppp.</w:t>
      </w:r>
    </w:p>
    <w:p>
      <w:pPr>
        <w:pStyle w:val="Normal"/>
        <w:rPr/>
      </w:pPr>
      <w:r>
        <w:rPr/>
        <w:t>Таким образом, все поставленные задачи были реализованы.</w:t>
      </w:r>
    </w:p>
    <w:p>
      <w:pPr>
        <w:pStyle w:val="Normal"/>
        <w:rPr/>
      </w:pPr>
      <w:r>
        <w:rPr/>
        <w:t>Выдвинутая гипотеза (возможно разработать электронный образовательный ресурс практической направленности «Использование GitHub как системы для непрерывной интеграции и развёртывания современного веб-проекта») подтвердилась.</w:t>
      </w:r>
    </w:p>
    <w:p>
      <w:pPr>
        <w:pStyle w:val="Normal"/>
        <w:rPr/>
      </w:pPr>
      <w:r>
        <w:rPr/>
        <w:t>Разработанный ресурс может быть использован учащимися для освоения практик CI/CD или применён при разработке других учебных материалов, следовательно, цель выпускной квалификационной работы была достигнута.</w:t>
      </w:r>
      <w:r>
        <w:br w:type="page"/>
      </w:r>
    </w:p>
    <w:p>
      <w:pPr>
        <w:pStyle w:val="Titre1"/>
        <w:spacing w:before="0" w:after="454"/>
        <w:rPr>
          <w:sz w:val="28"/>
          <w:szCs w:val="28"/>
        </w:rPr>
      </w:pPr>
      <w:bookmarkStart w:id="23" w:name="_Toc104400256"/>
      <w:r>
        <w:rPr>
          <w:sz w:val="28"/>
          <w:szCs w:val="28"/>
        </w:rPr>
        <w:t>СПИСОК ЛИТЕРАТУРЫ</w:t>
      </w:r>
      <w:bookmarkEnd w:id="23"/>
    </w:p>
    <w:p>
      <w:pPr>
        <w:pStyle w:val="Normal"/>
        <w:rPr/>
      </w:pPr>
      <w:r>
        <w:rPr/>
        <w:t>1. Азевич Алексей Иванович WordPress как обучающая интерактивная платформа // Вестник РУДН. Серия: Информатизация образования. 2013. №3. URL: https://cyberleninka.ru/article/n/wordpress-kak-obuchayuschaya-interaktivnaya-platforma (дата обращения: 16.03.2022).</w:t>
      </w:r>
    </w:p>
    <w:p>
      <w:pPr>
        <w:pStyle w:val="Normal"/>
        <w:rPr/>
      </w:pPr>
      <w:r>
        <w:rPr/>
        <w:t>2. Арланов И. В. Основные методы и компоненты систем непрерывной интеграции в ИТ-проектах // Новое слово в науке и практике: гипотезы и апробация результатов исследований. 2013. №8. URL: https://cyberleninka.ru/article/n/osnovnye-metody-i-komponenty-sistem-nepreryvnoy-integratsii-v-it-proektah (дата обращения: 16.03.2022).</w:t>
      </w:r>
    </w:p>
    <w:p>
      <w:pPr>
        <w:pStyle w:val="Normal"/>
        <w:rPr/>
      </w:pPr>
      <w:r>
        <w:rPr/>
        <w:t>3. Бодрова Екатерина Григорьевна, Дегтеренко Людмила Николаевна Цифровые инструменты и сервисы в профессиональной деятельности современного педагога // Современная высшая школа: инновационный аспект. 2021. №2 (52). URL: https://cyberleninka.ru/article/n/tsifrovye-instrumenty-i-servisy-v-professionalnoy-deyatelnosti-sovremennogo-pedagoga (дата обращения: 20.03.2022).</w:t>
      </w:r>
    </w:p>
    <w:p>
      <w:pPr>
        <w:pStyle w:val="Normal"/>
        <w:rPr/>
      </w:pPr>
      <w:r>
        <w:rPr/>
        <w:t>4. ГОСТ Р 52653-2006. Информационно-коммуникационные технологии в образовании. Термины и определения. – Введ. с 01.07.2008. – с. 1 — 4.</w:t>
      </w:r>
    </w:p>
    <w:p>
      <w:pPr>
        <w:pStyle w:val="Normal"/>
        <w:rPr/>
      </w:pPr>
      <w:r>
        <w:rPr/>
        <w:t>5. ГОСТ Р 53620-2009. Информационно-коммуникационные технологии в образовании. Электронные образовательные ресурсы. – Введ. с 01.01.2011. – с. 2 — 4.</w:t>
      </w:r>
    </w:p>
    <w:p>
      <w:pPr>
        <w:pStyle w:val="Normal"/>
        <w:rPr/>
      </w:pPr>
      <w:r>
        <w:rPr/>
        <w:t>6. Джун Ким, Джонг Хан Ким, Бер К., Спаффорд Д. Проект «Феникс». Роман о том, как DevOps меняет бизнес к лучшему. - М.: Бомбора, 2022. - 384 с.</w:t>
      </w:r>
    </w:p>
    <w:p>
      <w:pPr>
        <w:pStyle w:val="Normal"/>
        <w:rPr/>
      </w:pPr>
      <w:r>
        <w:rPr/>
        <w:t>7. Единые требования к электронным образовательным ресурсам. – М., 2011.</w:t>
      </w:r>
    </w:p>
    <w:p>
      <w:pPr>
        <w:pStyle w:val="Normal"/>
        <w:rPr/>
      </w:pPr>
      <w:r>
        <w:rPr/>
        <w:t>8. Козюкова Т.П., Кийкова Е.В. Выбор инструментария для разработки электронных образовательных ресурсов // Современные научные исследования и инновации. 2015. № 7. Ч. 2</w:t>
      </w:r>
    </w:p>
    <w:p>
      <w:pPr>
        <w:pStyle w:val="Normal"/>
        <w:rPr/>
      </w:pPr>
      <w:r>
        <w:rPr/>
        <w:t>9. Котеров, Д. В. PHP 7 / Д. В. Котеров, И. В. Симдянов. — СПб.: БХВ-Петербург, 2016. — 1088 с.: ил. — (В подлиннике)</w:t>
      </w:r>
    </w:p>
    <w:p>
      <w:pPr>
        <w:pStyle w:val="Normal"/>
        <w:rPr/>
      </w:pPr>
      <w:r>
        <w:rPr/>
        <w:t>10. Норенков И. П. Электронные образовательные ресурсы // Машиностроение и компьютерные технологии. 2009. №12. URL: https://cyberleninka.ru/article/n/elektronnye-obrazovatelnye-resursy (дата обращения: 16.03.2022).</w:t>
      </w:r>
    </w:p>
    <w:p>
      <w:pPr>
        <w:pStyle w:val="Normal"/>
        <w:rPr/>
      </w:pPr>
      <w:r>
        <w:rPr/>
        <w:t>11. Ракчеев Алексей Юрьевич Работа протокола ssh на практике // Научный журнал. 2020. №3 (48). URL: https://cyberleninka.ru/article/n/rabota-protokola-ssh-na-praktike (дата обращения: 16.03.2022).</w:t>
      </w:r>
    </w:p>
    <w:p>
      <w:pPr>
        <w:pStyle w:val="Normal"/>
        <w:rPr/>
      </w:pPr>
      <w:r>
        <w:rPr/>
        <w:t xml:space="preserve">12. Стародубцев В. А. Элементы геймификации в </w:t>
      </w:r>
      <w:r>
        <w:rPr>
          <w:lang w:val="en-US"/>
        </w:rPr>
        <w:t>LMS</w:t>
      </w:r>
      <w:r>
        <w:rPr/>
        <w:t xml:space="preserve"> </w:t>
      </w:r>
      <w:r>
        <w:rPr>
          <w:lang w:val="en-US"/>
        </w:rPr>
        <w:t>Moodle</w:t>
      </w:r>
      <w:r>
        <w:rPr/>
        <w:t xml:space="preserve"> / В. А. Стародубцев, И. В. Ряшенцев // Международный научно-исследовательский журнал. — 2017. — № 07 (61) Часть 1. — С. 98—102.</w:t>
      </w:r>
    </w:p>
    <w:p>
      <w:pPr>
        <w:pStyle w:val="Normal"/>
        <w:rPr/>
      </w:pPr>
      <w:r>
        <w:rPr/>
        <w:t>13. Федеральная целевая программа «Научные и научно-педагогические кадры инновационной России» на 2009-2013 годы // Портал Министерства образования и науки РФ. - Режим доступа: http://www.fasi.gov.ru/fcp/npki/</w:t>
      </w:r>
    </w:p>
    <w:p>
      <w:pPr>
        <w:pStyle w:val="Normal"/>
        <w:rPr/>
      </w:pPr>
      <w:r>
        <w:rPr/>
        <w:t>14. Федеральный государственный образовательный стандарт Высшего образования – Бакалавриат по направлению подготовки 09.03.01 Информатика и вычислительная техника от 19 сентября 2017 г. // Национальная ассоциация развития образования и науки. - Режим доступа: https://fgos.ru/</w:t>
      </w:r>
    </w:p>
    <w:p>
      <w:pPr>
        <w:pStyle w:val="Normal"/>
        <w:rPr/>
      </w:pPr>
      <w:r>
        <w:rPr/>
        <w:t>15. Фримен Э., Робсон Э., Сьерра К., Бейтс Б. Head First. Паттерны проектирования. Обновленное юбилейное издание. — СПб.: Питер, 2018. — 656 с.: ил. — (Серия «Head First O’Reilly»).</w:t>
      </w:r>
    </w:p>
    <w:p>
      <w:pPr>
        <w:pStyle w:val="Normal"/>
        <w:rPr/>
      </w:pPr>
      <w:r>
        <w:rPr/>
        <w:t>16. Хориков Владимир. Принципы юнит-тестирования. — СПб.: Питер, 2021 — 320 с.: ил. — (Серия «Для профессионалов»).</w:t>
      </w:r>
    </w:p>
    <w:p>
      <w:pPr>
        <w:pStyle w:val="Normal"/>
        <w:rPr/>
      </w:pPr>
      <w:r>
        <w:rPr/>
        <w:t>17. Электронные учебники: рекомендации по разработке. – М.: Федеральный институт развития образования, 2012. – 24 с.</w:t>
      </w:r>
    </w:p>
    <w:p>
      <w:pPr>
        <w:pStyle w:val="Normal"/>
        <w:rPr>
          <w:lang w:val="en-US"/>
        </w:rPr>
      </w:pPr>
      <w:r>
        <w:rPr>
          <w:lang w:val="en-US"/>
        </w:rPr>
        <w:t>18. Dias, S.B. and Diniz, J.A. and Hadjileontiadis, L.J. Towards an Intelligent Learning Management System Under Blended Learning: Trends, Profiles and Modeling Perspectives. — Springer International Publishing, 2013. — 235 p.</w:t>
      </w:r>
    </w:p>
    <w:p>
      <w:pPr>
        <w:pStyle w:val="Normal"/>
        <w:rPr>
          <w:lang w:val="en-US"/>
        </w:rPr>
      </w:pPr>
      <w:r>
        <w:rPr>
          <w:lang w:val="en-US"/>
        </w:rPr>
        <w:t>19. Kats, Y. Learning Management Systems and Instructional Design: Best Practices in Online Education. — IGI Global, 2013.</w:t>
      </w:r>
    </w:p>
    <w:p>
      <w:pPr>
        <w:sectPr>
          <w:headerReference w:type="default" r:id="rId9"/>
          <w:type w:val="nextPage"/>
          <w:pgSz w:w="11906" w:h="16838"/>
          <w:pgMar w:left="1418" w:right="567" w:gutter="0" w:header="720" w:top="1134" w:footer="0" w:bottom="1134"/>
          <w:pgNumType w:start="1" w:fmt="decimal"/>
          <w:formProt w:val="false"/>
          <w:titlePg/>
          <w:textDirection w:val="lrTb"/>
          <w:docGrid w:type="default" w:linePitch="299" w:charSpace="4096"/>
        </w:sectPr>
        <w:pStyle w:val="Normal"/>
        <w:rPr/>
      </w:pPr>
      <w:r>
        <w:rPr/>
        <w:t>20. Werbach K. Геймификация, [Электронный ресурс] / Werbach K. // Coursera. – 2017. – URL: https://ru.coursera.org/learn/gamification (дата обращения: 25.08.2016).</w:t>
      </w:r>
    </w:p>
    <w:p>
      <w:pPr>
        <w:sectPr>
          <w:headerReference w:type="default" r:id="rId10"/>
          <w:type w:val="nextPage"/>
          <w:pgSz w:w="11906" w:h="16838"/>
          <w:pgMar w:left="1418" w:right="567" w:gutter="0" w:header="0" w:top="1134" w:footer="0" w:bottom="1134"/>
          <w:pgNumType w:start="1" w:fmt="decimal"/>
          <w:formProt w:val="false"/>
          <w:textDirection w:val="lrTb"/>
          <w:docGrid w:type="default" w:linePitch="299" w:charSpace="4096"/>
        </w:sectPr>
        <w:pStyle w:val="Titre1"/>
        <w:spacing w:before="7200" w:after="120"/>
        <w:ind w:hanging="0"/>
        <w:jc w:val="center"/>
        <w:rPr>
          <w:sz w:val="28"/>
          <w:szCs w:val="28"/>
        </w:rPr>
      </w:pPr>
      <w:bookmarkStart w:id="24" w:name="_Toc104400257"/>
      <w:bookmarkStart w:id="25" w:name="_Toc98420036"/>
      <w:bookmarkEnd w:id="25"/>
      <w:r>
        <w:rPr>
          <w:sz w:val="28"/>
          <w:szCs w:val="28"/>
        </w:rPr>
        <w:t>ПРИЛОЖЕНИ</w:t>
      </w:r>
      <w:bookmarkEnd w:id="24"/>
      <w:r>
        <w:rPr>
          <w:sz w:val="28"/>
          <w:szCs w:val="28"/>
        </w:rPr>
        <w:t>Я</w:t>
      </w:r>
    </w:p>
    <w:p>
      <w:pPr>
        <w:pStyle w:val="Normal"/>
        <w:rPr/>
      </w:pPr>
      <w:r>
        <w:rPr/>
        <w:t>Приложение 1</w:t>
      </w:r>
    </w:p>
    <w:p>
      <w:pPr>
        <w:pStyle w:val="Normal"/>
        <w:rPr/>
      </w:pPr>
      <w:r>
        <w:rPr/>
        <w:t xml:space="preserve">Файл конфигурации </w:t>
      </w:r>
      <w:r>
        <w:rPr>
          <w:lang w:val="en-US"/>
        </w:rPr>
        <w:t>Docker</w:t>
      </w:r>
      <w:r>
        <w:rPr/>
        <w:t xml:space="preserve"> </w:t>
      </w:r>
      <w:r>
        <w:rPr>
          <w:lang w:val="en-US"/>
        </w:rPr>
        <w:t>Compose</w:t>
      </w:r>
      <w:r>
        <w:rPr/>
        <w:t xml:space="preserve"> – </w:t>
      </w:r>
      <w:r>
        <w:rPr>
          <w:lang w:val="en-US"/>
        </w:rPr>
        <w:t>docker</w:t>
      </w:r>
      <w:r>
        <w:rPr/>
        <w:t>-</w:t>
      </w:r>
      <w:r>
        <w:rPr>
          <w:lang w:val="en-US"/>
        </w:rPr>
        <w:t>compose</w:t>
      </w:r>
      <w:r>
        <w:rPr/>
        <w:t>.</w:t>
      </w:r>
      <w:r>
        <w:rPr>
          <w:lang w:val="en-US"/>
        </w:rPr>
        <w:t>yaml</w:t>
      </w:r>
    </w:p>
    <w:p>
      <w:pPr>
        <w:sectPr>
          <w:headerReference w:type="default" r:id="rId12"/>
          <w:type w:val="nextPage"/>
          <w:pgSz w:w="11906" w:h="16838"/>
          <w:pgMar w:left="1418" w:right="567" w:gutter="0" w:header="0" w:top="1134" w:footer="0" w:bottom="1134"/>
          <w:pgNumType w:start="1" w:fmt="decimal"/>
          <w:formProt w:val="false"/>
          <w:textDirection w:val="lrTb"/>
          <w:docGrid w:type="default" w:linePitch="299" w:charSpace="4096"/>
        </w:sectPr>
        <w:pStyle w:val="Normal"/>
        <w:rPr/>
      </w:pPr>
      <w:r>
        <w:rPr/>
        <w:drawing>
          <wp:inline distT="0" distB="0" distL="0" distR="0">
            <wp:extent cx="5297170" cy="6340475"/>
            <wp:effectExtent l="0" t="0" r="0" b="0"/>
            <wp:docPr id="8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170" cy="63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>Приложение 2</w:t>
      </w:r>
    </w:p>
    <w:p>
      <w:pPr>
        <w:pStyle w:val="Normal"/>
        <w:rPr/>
      </w:pPr>
      <w:r>
        <w:rPr/>
        <w:t>Файл конфигурации переменных окружения - .</w:t>
      </w:r>
      <w:r>
        <w:rPr>
          <w:lang w:val="en-US"/>
        </w:rPr>
        <w:t>env</w:t>
      </w:r>
    </w:p>
    <w:p>
      <w:pPr>
        <w:pStyle w:val="Normal"/>
        <w:rPr>
          <w:lang w:val="en-US"/>
        </w:rPr>
      </w:pPr>
      <w:r>
        <w:rPr/>
        <w:drawing>
          <wp:inline distT="0" distB="0" distL="0" distR="0">
            <wp:extent cx="4379595" cy="3476625"/>
            <wp:effectExtent l="0" t="0" r="0" b="0"/>
            <wp:docPr id="9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59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lang w:val="en-US"/>
        </w:rPr>
      </w:pPr>
      <w:r>
        <w:rPr/>
      </w:r>
    </w:p>
    <w:sectPr>
      <w:headerReference w:type="default" r:id="rId14"/>
      <w:type w:val="nextPage"/>
      <w:pgSz w:w="11906" w:h="16838"/>
      <w:pgMar w:left="1418" w:right="567" w:gutter="0" w:header="720" w:top="1134" w:footer="0" w:bottom="1134"/>
      <w:pgNumType w:start="1"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  <w:font w:name="Calibri">
    <w:charset w:val="01"/>
    <w:family w:val="swiss"/>
    <w:pitch w:val="default"/>
  </w:font>
  <w:font w:name="Lazursky">
    <w:charset w:val="01"/>
    <w:family w:val="swiss"/>
    <w:pitch w:val="default"/>
  </w:font>
  <w:font w:name="Cambria">
    <w:charset w:val="01"/>
    <w:family w:val="swiss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55259520"/>
    </w:sdtPr>
    <w:sdtContent>
      <w:p>
        <w:pPr>
          <w:pStyle w:val="Entte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40</w:t>
        </w:r>
        <w:r>
          <w:rPr/>
          <w:fldChar w:fldCharType="end"/>
        </w:r>
      </w:p>
      <w:p>
        <w:pPr>
          <w:pStyle w:val="Normal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1033223"/>
    </w:sdtPr>
    <w:sdtContent>
      <w:p>
        <w:pPr>
          <w:pStyle w:val="Entte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Normal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10b8"/>
    <w:pPr>
      <w:widowControl/>
      <w:suppressAutoHyphens w:val="true"/>
      <w:bidi w:val="0"/>
      <w:spacing w:lineRule="auto" w:line="360" w:before="0" w:after="0"/>
      <w:ind w:firstLine="709"/>
      <w:jc w:val="both"/>
    </w:pPr>
    <w:rPr>
      <w:rFonts w:ascii="Times New Roman" w:hAnsi="Times New Roman" w:cs="Times New Roman" w:eastAsia="Arial"/>
      <w:color w:val="auto"/>
      <w:kern w:val="0"/>
      <w:sz w:val="28"/>
      <w:szCs w:val="28"/>
      <w:lang w:val="ru-RU" w:eastAsia="ru-RU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keepLines/>
      <w:spacing w:before="320" w:after="80"/>
      <w:outlineLvl w:val="2"/>
    </w:pPr>
    <w:rPr>
      <w:color w:val="434343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>
    <w:name w:val="Lien Internet"/>
    <w:basedOn w:val="DefaultParagraphFont"/>
    <w:uiPriority w:val="99"/>
    <w:unhideWhenUsed/>
    <w:rsid w:val="00653c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1196a"/>
    <w:rPr>
      <w:color w:val="605E5C"/>
      <w:shd w:fill="E1DFDD" w:val="clear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c6cc5"/>
    <w:rPr>
      <w:sz w:val="16"/>
      <w:szCs w:val="16"/>
    </w:rPr>
  </w:style>
  <w:style w:type="character" w:styleId="Style8" w:customStyle="1">
    <w:name w:val="Текст примечания Знак"/>
    <w:basedOn w:val="DefaultParagraphFont"/>
    <w:uiPriority w:val="99"/>
    <w:semiHidden/>
    <w:qFormat/>
    <w:rsid w:val="00cc6cc5"/>
    <w:rPr>
      <w:sz w:val="20"/>
      <w:szCs w:val="20"/>
    </w:rPr>
  </w:style>
  <w:style w:type="character" w:styleId="Style9" w:customStyle="1">
    <w:name w:val="Тема примечания Знак"/>
    <w:basedOn w:val="Style8"/>
    <w:uiPriority w:val="99"/>
    <w:semiHidden/>
    <w:qFormat/>
    <w:rsid w:val="00cc6cc5"/>
    <w:rPr>
      <w:b/>
      <w:bCs/>
      <w:sz w:val="20"/>
      <w:szCs w:val="20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054654"/>
    <w:rPr/>
  </w:style>
  <w:style w:type="character" w:styleId="Style11" w:customStyle="1">
    <w:name w:val="Нижний колонтитул Знак"/>
    <w:basedOn w:val="DefaultParagraphFont"/>
    <w:uiPriority w:val="99"/>
    <w:qFormat/>
    <w:rsid w:val="00054654"/>
    <w:rPr/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aractresdenumrotation" w:customStyle="1">
    <w:name w:val="Caractères de numérotation"/>
    <w:qFormat/>
    <w:rPr/>
  </w:style>
  <w:style w:type="character" w:styleId="Accentuationforte" w:customStyle="1">
    <w:name w:val="Accentuation forte"/>
    <w:qFormat/>
    <w:rPr>
      <w:b/>
      <w:bCs/>
    </w:rPr>
  </w:style>
  <w:style w:type="character" w:styleId="Sautdindex" w:customStyle="1">
    <w:name w:val="Saut d'index"/>
    <w:qFormat/>
    <w:rPr/>
  </w:style>
  <w:style w:type="paragraph" w:styleId="Titre" w:customStyle="1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Source Han Sans CN" w:cs="Droid Sans Devanagari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Droid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Arial" w:hAnsi="Arial" w:cs="Droid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Titreprincipal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oustitr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312e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cc6cc5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cc6cc5"/>
    <w:pPr/>
    <w:rPr>
      <w:b/>
      <w:bCs/>
    </w:rPr>
  </w:style>
  <w:style w:type="paragraph" w:styleId="Entteetpieddepage" w:customStyle="1">
    <w:name w:val="En-tête et pied de page"/>
    <w:basedOn w:val="Normal"/>
    <w:qFormat/>
    <w:pPr/>
    <w:rPr/>
  </w:style>
  <w:style w:type="paragraph" w:styleId="Entte">
    <w:name w:val="Header"/>
    <w:basedOn w:val="Normal"/>
    <w:uiPriority w:val="99"/>
    <w:unhideWhenUsed/>
    <w:rsid w:val="00054654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/>
  </w:style>
  <w:style w:type="paragraph" w:styleId="Pieddepage">
    <w:name w:val="Footer"/>
    <w:basedOn w:val="Normal"/>
    <w:uiPriority w:val="99"/>
    <w:unhideWhenUsed/>
    <w:rsid w:val="00054654"/>
    <w:pPr>
      <w:tabs>
        <w:tab w:val="clear" w:pos="709"/>
        <w:tab w:val="center" w:pos="4536" w:leader="none"/>
        <w:tab w:val="right" w:pos="9072" w:leader="none"/>
      </w:tabs>
      <w:spacing w:lineRule="auto" w:line="240"/>
    </w:pPr>
    <w:rPr/>
  </w:style>
  <w:style w:type="paragraph" w:styleId="Classique" w:customStyle="1">
    <w:name w:val="Classique"/>
    <w:basedOn w:val="Normal"/>
    <w:qFormat/>
    <w:pPr/>
    <w:rPr>
      <w:rFonts w:ascii="Liberation Serif" w:hAnsi="Liberation Serif"/>
      <w:color w:val="030202"/>
    </w:rPr>
  </w:style>
  <w:style w:type="paragraph" w:styleId="Indexheading">
    <w:name w:val="index heading"/>
    <w:basedOn w:val="Titre"/>
    <w:qFormat/>
    <w:pPr/>
    <w:rPr/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1"/>
    <w:next w:val="Normal"/>
    <w:uiPriority w:val="39"/>
    <w:unhideWhenUsed/>
    <w:qFormat/>
    <w:rsid w:val="00640e34"/>
    <w:pPr>
      <w:suppressAutoHyphens w:val="false"/>
      <w:spacing w:lineRule="auto" w:line="259" w:before="240" w:after="0"/>
      <w:ind w:hanging="0"/>
      <w:jc w:val="left"/>
      <w:outlineLvl w:val="9"/>
    </w:pPr>
    <w:rPr>
      <w:rFonts w:ascii="Calibri" w:hAnsi="Calibri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653c60"/>
    <w:pPr>
      <w:tabs>
        <w:tab w:val="clear" w:pos="709"/>
        <w:tab w:val="right" w:pos="9911" w:leader="dot"/>
      </w:tabs>
      <w:ind w:hanging="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640e34"/>
    <w:pPr>
      <w:spacing w:before="0" w:after="100"/>
      <w:ind w:left="280" w:firstLine="709"/>
    </w:pPr>
    <w:rPr/>
  </w:style>
  <w:style w:type="paragraph" w:styleId="Tabledesmatiresniveau3">
    <w:name w:val="TOC 3"/>
    <w:basedOn w:val="Normal"/>
    <w:next w:val="Normal"/>
    <w:autoRedefine/>
    <w:uiPriority w:val="39"/>
    <w:unhideWhenUsed/>
    <w:rsid w:val="00640e34"/>
    <w:pPr>
      <w:spacing w:before="0" w:after="100"/>
      <w:ind w:left="560" w:firstLine="709"/>
    </w:pPr>
    <w:rPr/>
  </w:style>
  <w:style w:type="paragraph" w:styleId="Contenudetableau" w:customStyle="1">
    <w:name w:val="Contenu de tableau"/>
    <w:basedOn w:val="Normal"/>
    <w:qFormat/>
    <w:pPr>
      <w:widowControl w:val="false"/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39"/>
    <w:rsid w:val="0077266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image" Target="media/image8.png"/><Relationship Id="rId12" Type="http://schemas.openxmlformats.org/officeDocument/2006/relationships/header" Target="header3.xml"/><Relationship Id="rId13" Type="http://schemas.openxmlformats.org/officeDocument/2006/relationships/image" Target="media/image9.png"/><Relationship Id="rId14" Type="http://schemas.openxmlformats.org/officeDocument/2006/relationships/header" Target="header4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3BC29-F57A-4257-AC74-BF7CECC1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2715</TotalTime>
  <Application>LibreOffice/7.3.3.2$Linux_X86_64 LibreOffice_project/30$Build-2</Application>
  <AppVersion>15.0000</AppVersion>
  <Pages>45</Pages>
  <Words>6113</Words>
  <Characters>44286</Characters>
  <CharactersWithSpaces>50084</CharactersWithSpaces>
  <Paragraphs>352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2022-03-11T17:37:00Z</dcterms:created>
  <dc:creator/>
  <dc:description/>
  <dc:language>fr-FR</dc:language>
  <cp:lastModifiedBy>Cyrille Kossyguine</cp:lastModifiedBy>
  <cp:lastPrinted>2022-03-18T10:25:00Z</cp:lastPrinted>
  <dcterms:modified xsi:type="dcterms:W3CDTF">2022-06-03T10:48:00Z</dcterms:modified>
  <cp:revision>1029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