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8"/>
        <w:rPr>
          <w:highlight w:val="none"/>
        </w:rPr>
      </w:pPr>
      <w:r>
        <w:rPr>
          <w:highlight w:val="none"/>
        </w:rPr>
      </w:r>
      <w:r>
        <w:rPr>
          <w:szCs w:val="24"/>
          <w:rtl w:val="false"/>
        </w:rPr>
        <w:t xml:space="preserve">ГОСТ 2.105-95 КСКД. Общие требования к текстовым  документам</w:t>
      </w:r>
      <w:r>
        <w:rPr>
          <w:highlight w:val="none"/>
        </w:rPr>
      </w:r>
      <w:r/>
    </w:p>
    <w:p>
      <w:pPr>
        <w:ind w:left="0" w:right="0" w:firstLine="480"/>
        <w:jc w:val="both"/>
        <w:spacing w:before="0" w:after="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Способы оформления подлинников текстовых документов:</w:t>
      </w:r>
      <w:r>
        <w:rPr>
          <w:highlight w:val="none"/>
        </w:rPr>
      </w:r>
      <w:r/>
    </w:p>
    <w:p>
      <w:pPr>
        <w:pStyle w:val="828"/>
        <w:numPr>
          <w:ilvl w:val="0"/>
          <w:numId w:val="1"/>
        </w:numPr>
        <w:ind w:right="0"/>
        <w:jc w:val="both"/>
        <w:spacing w:before="0" w:after="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машинописный, при этом следует выполнять требования ГОСТ 13.1.002. Шрифт пишущей машинки должен быть четким, высотой не менее 2,5 мм, лента только черного цвета (полужирная);</w:t>
      </w:r>
      <w:r>
        <w:rPr>
          <w:highlight w:val="none"/>
        </w:rPr>
      </w:r>
      <w:r/>
    </w:p>
    <w:p>
      <w:pPr>
        <w:pStyle w:val="828"/>
        <w:numPr>
          <w:ilvl w:val="0"/>
          <w:numId w:val="1"/>
        </w:numPr>
        <w:ind w:right="0"/>
        <w:jc w:val="both"/>
        <w:spacing w:before="0" w:after="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рукописный - чертежным шрифтом по </w:t>
      </w:r>
      <w:hyperlink r:id="rId9" w:tooltip="https://docs.cntd.ru/document/1200003503#7D20K3" w:history="1">
        <w:r>
          <w:rPr>
            <w:highlight w:val="none"/>
          </w:rPr>
          <w:t xml:space="preserve">ГОСТ 2.304</w:t>
        </w:r>
      </w:hyperlink>
      <w:r>
        <w:rPr>
          <w:highlight w:val="none"/>
        </w:rPr>
        <w:t xml:space="preserve"> с высотой букв и цифр не менее 2,5 мм. Цифры и буквы необходимо писать четко черной тушью;</w:t>
      </w:r>
      <w:r>
        <w:rPr>
          <w:highlight w:val="none"/>
        </w:rPr>
      </w:r>
      <w:r/>
    </w:p>
    <w:p>
      <w:pPr>
        <w:pStyle w:val="828"/>
        <w:numPr>
          <w:ilvl w:val="0"/>
          <w:numId w:val="1"/>
        </w:numPr>
        <w:ind w:right="0"/>
        <w:jc w:val="both"/>
        <w:spacing w:before="0" w:after="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с применением печатающих и графических устройств вывода ЭВМ (</w:t>
      </w:r>
      <w:hyperlink r:id="rId10" w:tooltip="https://docs.cntd.ru/document/1200001987#7D20K3" w:history="1">
        <w:r>
          <w:rPr>
            <w:highlight w:val="none"/>
          </w:rPr>
          <w:t xml:space="preserve">ГОСТ 2.004</w:t>
        </w:r>
      </w:hyperlink>
      <w:r>
        <w:rPr>
          <w:highlight w:val="none"/>
        </w:rPr>
        <w:t xml:space="preserve">);</w:t>
      </w:r>
      <w:r>
        <w:rPr>
          <w:highlight w:val="none"/>
        </w:rPr>
      </w:r>
      <w:r/>
    </w:p>
    <w:p>
      <w:pPr>
        <w:pStyle w:val="828"/>
        <w:numPr>
          <w:ilvl w:val="0"/>
          <w:numId w:val="1"/>
        </w:numPr>
        <w:ind w:right="0"/>
        <w:jc w:val="both"/>
        <w:spacing w:before="0" w:after="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на электронных носителях данных.</w:t>
      </w:r>
      <w:r>
        <w:rPr>
          <w:highlight w:val="none"/>
        </w:rPr>
      </w:r>
      <w:r/>
    </w:p>
    <w:p>
      <w:pPr>
        <w:ind w:left="0" w:right="0" w:firstLine="480"/>
        <w:jc w:val="both"/>
        <w:spacing w:before="0" w:after="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</w:r>
      <w:r>
        <w:rPr>
          <w:highlight w:val="none"/>
        </w:rPr>
      </w:r>
      <w:r/>
    </w:p>
    <w:p>
      <w:pPr>
        <w:ind w:left="0" w:right="0" w:firstLine="480"/>
        <w:jc w:val="both"/>
        <w:spacing w:before="0" w:after="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Способы оформления копий текстовых документов:</w:t>
      </w:r>
      <w:r/>
    </w:p>
    <w:p>
      <w:pPr>
        <w:pStyle w:val="828"/>
        <w:numPr>
          <w:ilvl w:val="0"/>
          <w:numId w:val="2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типографский - в соответствии с требованиями, предъявляемыми к изданиям, изготовляемым типографским способом;</w:t>
      </w:r>
      <w:r/>
    </w:p>
    <w:p>
      <w:pPr>
        <w:pStyle w:val="828"/>
        <w:numPr>
          <w:ilvl w:val="0"/>
          <w:numId w:val="2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ксерокопирование - при этом рекомендуется размножать способом двустороннего копирования;</w:t>
      </w:r>
      <w:r/>
    </w:p>
    <w:p>
      <w:pPr>
        <w:pStyle w:val="828"/>
        <w:numPr>
          <w:ilvl w:val="0"/>
          <w:numId w:val="2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светокопирование;</w:t>
      </w:r>
      <w:r/>
    </w:p>
    <w:p>
      <w:pPr>
        <w:pStyle w:val="828"/>
        <w:numPr>
          <w:ilvl w:val="0"/>
          <w:numId w:val="2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микрофильмирование;</w:t>
      </w:r>
      <w:r/>
    </w:p>
    <w:p>
      <w:pPr>
        <w:pStyle w:val="828"/>
        <w:numPr>
          <w:ilvl w:val="0"/>
          <w:numId w:val="2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на электронных носителях данных.</w:t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О</w:t>
      </w:r>
      <w:r>
        <w:rPr>
          <w:highlight w:val="white"/>
        </w:rPr>
        <w:t xml:space="preserve">тдельные слова, формулы, условные знаки (рукописным способом) </w:t>
      </w:r>
      <w:r>
        <w:rPr>
          <w:highlight w:val="none"/>
        </w:rPr>
        <w:t xml:space="preserve">и</w:t>
      </w:r>
      <w:r>
        <w:rPr>
          <w:highlight w:val="white"/>
        </w:rPr>
        <w:t xml:space="preserve"> иллюстрации</w:t>
      </w:r>
      <w:r>
        <w:rPr>
          <w:highlight w:val="white"/>
        </w:rPr>
        <w:t xml:space="preserve"> следует </w:t>
      </w:r>
      <w:r>
        <w:rPr>
          <w:highlight w:val="white"/>
        </w:rPr>
        <w:t xml:space="preserve">вписывать </w:t>
      </w:r>
      <w:r>
        <w:rPr>
          <w:highlight w:val="white"/>
        </w:rPr>
        <w:t xml:space="preserve">в текстовые документы, изготовленные машинописным способом</w:t>
      </w:r>
      <w:r>
        <w:rPr>
          <w:highlight w:val="none"/>
        </w:rPr>
        <w:t xml:space="preserve"> </w:t>
      </w:r>
      <w:r>
        <w:rPr>
          <w:highlight w:val="white"/>
        </w:rPr>
        <w:t xml:space="preserve">черными чернилами, пастой или тушью</w:t>
      </w:r>
      <w:r>
        <w:rPr>
          <w:highlight w:val="white"/>
        </w:rPr>
        <w:t xml:space="preserve">.</w:t>
      </w:r>
      <w:r>
        <w:rPr>
          <w:highlight w:val="none"/>
        </w:rPr>
        <w:t xml:space="preserve"> </w:t>
      </w:r>
      <w:r>
        <w:rPr>
          <w:highlight w:val="white"/>
        </w:rPr>
        <w:t xml:space="preserve">Опечатки, описки и графические неточности, обнаруженные в процессе выполнения документа, допускается исправлять подчисткой или закрашиванием белой краской и нанесением на том же  месте исправленного текста (графики) машинописным способом или черными чернил</w:t>
      </w:r>
      <w:r>
        <w:rPr>
          <w:highlight w:val="white"/>
        </w:rPr>
        <w:t xml:space="preserve">ами, пастой или тушью рукописным способ</w:t>
      </w:r>
      <w:r>
        <w:rPr>
          <w:highlight w:val="white"/>
        </w:rPr>
        <w:t xml:space="preserve">ом.</w:t>
      </w:r>
      <w:r>
        <w:rPr>
          <w:highlight w:val="none"/>
        </w:rPr>
        <w:t xml:space="preserve"> </w:t>
      </w:r>
      <w:r>
        <w:rPr>
          <w:highlight w:val="white"/>
        </w:rPr>
        <w:t xml:space="preserve">Повреждения листов текстовых документов, помарки и следы неполностью удаленного прежнего текста (графика) не допускаются.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  <w:t xml:space="preserve">Расстояния:</w:t>
      </w:r>
      <w:r>
        <w:rPr>
          <w:highlight w:val="none"/>
        </w:rPr>
      </w:r>
      <w:r/>
    </w:p>
    <w:p>
      <w:pPr>
        <w:pStyle w:val="828"/>
        <w:numPr>
          <w:ilvl w:val="0"/>
          <w:numId w:val="3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расстояние от рамки формы до границ текста в начале и в конце строк - не менее 3 мм;</w:t>
      </w:r>
      <w:r/>
    </w:p>
    <w:p>
      <w:pPr>
        <w:pStyle w:val="828"/>
        <w:numPr>
          <w:ilvl w:val="0"/>
          <w:numId w:val="3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расстояние от верхней или нижней строки текста до верхней или нижней рамки должно быть не менее 10 мм;</w:t>
      </w:r>
      <w:r/>
    </w:p>
    <w:p>
      <w:pPr>
        <w:pStyle w:val="828"/>
        <w:numPr>
          <w:ilvl w:val="0"/>
          <w:numId w:val="3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абзацы в тексте начинают отступом, равным пяти ударам пишущей машинки (15-17 мм).</w:t>
      </w:r>
      <w:r/>
    </w:p>
    <w:p>
      <w:pPr>
        <w:ind w:left="0" w:right="0" w:firstLine="0"/>
        <w:jc w:val="both"/>
        <w:spacing w:before="0" w:after="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  <w:t xml:space="preserve">Построение документа:</w:t>
      </w:r>
      <w:r>
        <w:rPr>
          <w:highlight w:val="none"/>
        </w:rPr>
      </w:r>
      <w:r/>
    </w:p>
    <w:p>
      <w:pPr>
        <w:pStyle w:val="828"/>
        <w:numPr>
          <w:ilvl w:val="0"/>
          <w:numId w:val="6"/>
        </w:numPr>
      </w:pPr>
      <w:r>
        <w:rPr>
          <w:highlight w:val="none"/>
        </w:rPr>
      </w:r>
      <w:r>
        <w:rPr>
          <w:highlight w:val="none"/>
        </w:rPr>
        <w:t xml:space="preserve">т</w:t>
      </w:r>
      <w:r>
        <w:rPr>
          <w:highlight w:val="white"/>
        </w:rPr>
        <w:t xml:space="preserve">екст документа при необходимости разделяют на разделы и подразделы</w:t>
      </w:r>
      <w:r>
        <w:rPr>
          <w:highlight w:val="none"/>
        </w:rPr>
        <w:t xml:space="preserve">;</w:t>
      </w:r>
      <w:r>
        <w:rPr>
          <w:highlight w:val="none"/>
        </w:rPr>
      </w:r>
      <w:r/>
    </w:p>
    <w:p>
      <w:pPr>
        <w:pStyle w:val="828"/>
        <w:numPr>
          <w:ilvl w:val="0"/>
          <w:numId w:val="6"/>
        </w:numPr>
      </w:pPr>
      <w:r>
        <w:rPr>
          <w:highlight w:val="none"/>
        </w:rPr>
      </w:r>
      <w:r>
        <w:rPr>
          <w:highlight w:val="none"/>
        </w:rPr>
        <w:t xml:space="preserve">п</w:t>
      </w:r>
      <w:r>
        <w:rPr>
          <w:highlight w:val="white"/>
        </w:rPr>
        <w:t xml:space="preserve">ри большом объеме документа допускается разделять его на части, а части, в случае необходимости, на книги, каждую часть и книгу комплектуют отдельно, всем частям дают наименования и присваивают обозначение документа, начиная со второй части, к этому обоз</w:t>
      </w:r>
      <w:r>
        <w:rPr>
          <w:highlight w:val="white"/>
        </w:rPr>
        <w:t xml:space="preserve">начению добавляют порядковый номер, всем книгам дают наименование и присваивают порядковый номер</w:t>
      </w:r>
      <w:r>
        <w:rPr>
          <w:highlight w:val="none"/>
        </w:rPr>
        <w:t xml:space="preserve">;</w:t>
      </w:r>
      <w:r>
        <w:rPr>
          <w:highlight w:val="none"/>
        </w:rPr>
      </w:r>
      <w:r/>
    </w:p>
    <w:p>
      <w:pPr>
        <w:pStyle w:val="828"/>
        <w:numPr>
          <w:ilvl w:val="0"/>
          <w:numId w:val="6"/>
        </w:numPr>
      </w:pPr>
      <w:r>
        <w:t xml:space="preserve">разделы должны иметь порядковые номера в пределах всего документа (части, книги), обозначенные арабскими цифрами без точки и записанные с абзацевого отступа;</w:t>
      </w:r>
      <w:r/>
    </w:p>
    <w:p>
      <w:pPr>
        <w:pStyle w:val="828"/>
        <w:numPr>
          <w:ilvl w:val="0"/>
          <w:numId w:val="6"/>
        </w:numPr>
      </w:pPr>
      <w:r>
        <w:t xml:space="preserve">подразделы должны иметь нумерацию в пределах каждого раздела, номер подраздела состоит из номеров </w:t>
      </w:r>
      <w:r>
        <w:t xml:space="preserve">раздела и подраздела, разделенных точкой, в конце номера подраздела точка не ставится;</w:t>
      </w:r>
      <w:r/>
    </w:p>
    <w:p>
      <w:pPr>
        <w:pStyle w:val="828"/>
        <w:numPr>
          <w:ilvl w:val="0"/>
          <w:numId w:val="6"/>
        </w:numPr>
      </w:pPr>
      <w:r>
        <w:t xml:space="preserve">разделы и подразделы могут состоять из одного или нескольких пунктов;</w:t>
      </w:r>
      <w:r/>
    </w:p>
    <w:p>
      <w:pPr>
        <w:pStyle w:val="828"/>
        <w:numPr>
          <w:ilvl w:val="0"/>
          <w:numId w:val="6"/>
        </w:numPr>
      </w:pPr>
      <w:r>
        <w:t xml:space="preserve">если документ не имеет подразделов, то нумерация пунктов в нем должна быть в пределах каждого раздела, и номер пункта должен состоять из номеров раздела и пункта, разделенных точкой, в конце номера пункта точка не ставится</w:t>
      </w:r>
      <w:r/>
    </w:p>
    <w:p>
      <w:pPr>
        <w:ind w:left="0" w:firstLine="0"/>
      </w:pPr>
      <w:r>
        <w:rPr>
          <w:highlight w:val="none"/>
        </w:rPr>
        <w:t xml:space="preserve">Изложение текста документов:</w:t>
      </w:r>
      <w:r>
        <w:rPr>
          <w:highlight w:val="none"/>
        </w:rPr>
      </w:r>
      <w:r/>
    </w:p>
    <w:p>
      <w:pPr>
        <w:pStyle w:val="828"/>
        <w:numPr>
          <w:ilvl w:val="0"/>
          <w:numId w:val="7"/>
        </w:numPr>
      </w:pPr>
      <w:r>
        <w:t xml:space="preserve">полное наименование изделия на титульном листе, в основной надписи и при первом упоминании в тексте документа должно быть одинаковым с наименованием его в основном конструкторском документе, в</w:t>
      </w:r>
      <w:r>
        <w:t xml:space="preserve"> последующем тексте порядок слов в наименовании должен быть прямой, т.е. на первом месте должно быть определение (имя прилагательное), а затем - название изделия (имя существительное); при </w:t>
      </w:r>
      <w:r>
        <w:t xml:space="preserve">этом допускается употреблять сокращенное наименование изделия, </w:t>
      </w:r>
      <w:r>
        <w:rPr>
          <w:highlight w:val="none"/>
        </w:rPr>
        <w:t xml:space="preserve">н</w:t>
      </w:r>
      <w:r>
        <w:rPr>
          <w:highlight w:val="white"/>
        </w:rPr>
        <w:t xml:space="preserve">аименования, приводимые в тексте документа и на иллюстрациях, должны быть одинаковыми</w:t>
      </w:r>
      <w:r>
        <w:rPr>
          <w:highlight w:val="none"/>
        </w:rPr>
        <w:t xml:space="preserve">;</w:t>
      </w:r>
      <w:r>
        <w:rPr>
          <w:highlight w:val="none"/>
        </w:rPr>
      </w:r>
      <w:r/>
    </w:p>
    <w:p>
      <w:pPr>
        <w:pStyle w:val="828"/>
        <w:numPr>
          <w:ilvl w:val="0"/>
          <w:numId w:val="7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</w:r>
      <w:r>
        <w:t xml:space="preserve">текст документа должен быть кратким, четким и не допускать различных толкований, </w:t>
      </w:r>
      <w:r>
        <w:t xml:space="preserve">при изложении обязательных требований в тексте должны применяться слова "должен", "следует", "необходимо", "требуется, чтобы", "разрешается только", "не допускается", "запрещается", "не следует". При изложении других положений следует применять слова - "мо</w:t>
      </w:r>
      <w:r>
        <w:t xml:space="preserve">гут быть", "как правило", "при необходимости", "может быть", "в случае" и т.д., п</w:t>
      </w:r>
      <w:r>
        <w:t xml:space="preserve">ри этом допускается использовать повествовательную форму изложения текста документа, например "применяют", "указывают" и т.п;</w:t>
      </w:r>
      <w:r/>
    </w:p>
    <w:p>
      <w:pPr>
        <w:pStyle w:val="828"/>
        <w:numPr>
          <w:ilvl w:val="0"/>
          <w:numId w:val="7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в документах должны применяться научно-технические термины, обозначения и определения, установленные соответствующими стандартами, а при их отсутствии - общепринятые в научно-технической литературе, е</w:t>
      </w:r>
      <w:r>
        <w:t xml:space="preserve">сли в документе принята специфическая терминология, тo в конце его (перед списком литературы) должен быть перечень принятых терминов с соответствующими разъяснениями, который включается в содержание документа;</w:t>
      </w:r>
      <w:r/>
    </w:p>
    <w:p>
      <w:pPr>
        <w:pStyle w:val="828"/>
        <w:numPr>
          <w:ilvl w:val="0"/>
          <w:numId w:val="7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</w:r>
      <w:r>
        <w:rPr>
          <w:highlight w:val="none"/>
        </w:rPr>
        <w:t xml:space="preserve">в тексте документа не допускается:</w:t>
      </w:r>
      <w:r/>
    </w:p>
    <w:p>
      <w:pPr>
        <w:pStyle w:val="828"/>
        <w:numPr>
          <w:ilvl w:val="1"/>
          <w:numId w:val="7"/>
        </w:numPr>
      </w:pPr>
      <w:r>
        <w:t xml:space="preserve">применять обороты разговорной речи, техницизмы, профессионализмы;</w:t>
      </w:r>
      <w:r/>
    </w:p>
    <w:p>
      <w:pPr>
        <w:pStyle w:val="828"/>
        <w:numPr>
          <w:ilvl w:val="1"/>
          <w:numId w:val="7"/>
        </w:numPr>
      </w:pPr>
      <w:r>
        <w:t xml:space="preserve">применять для одного и того же понятия различные научно-технические термины, близкие по смыслу (синонимы), а также иностранные слова и термины при наличии равнозначных слов и терминов в русском языке;</w:t>
      </w:r>
      <w:r/>
    </w:p>
    <w:p>
      <w:pPr>
        <w:pStyle w:val="828"/>
        <w:numPr>
          <w:ilvl w:val="1"/>
          <w:numId w:val="7"/>
        </w:numPr>
      </w:pPr>
      <w:r>
        <w:t xml:space="preserve">применять произвольные словообразования;</w:t>
      </w:r>
      <w:r/>
    </w:p>
    <w:p>
      <w:pPr>
        <w:pStyle w:val="828"/>
        <w:numPr>
          <w:ilvl w:val="1"/>
          <w:numId w:val="7"/>
        </w:numPr>
      </w:pPr>
      <w:r>
        <w:t xml:space="preserve">применять сокращения слов, кроме установленных правилами русской орфографии, соответствующими государственными стандартами, а также в данном документе;</w:t>
      </w:r>
      <w:r/>
    </w:p>
    <w:p>
      <w:pPr>
        <w:pStyle w:val="828"/>
        <w:numPr>
          <w:ilvl w:val="1"/>
          <w:numId w:val="7"/>
        </w:numPr>
      </w:pPr>
      <w:r>
        <w:t xml:space="preserve">сокращать обозначения единиц физических величин, если они употребляются без цифр, за исключением единиц физических величин в головках и боковиках таблиц и в расшифровках буквенных обозначений, входящих в формулы и рисунки.</w:t>
      </w:r>
      <w:r/>
    </w:p>
    <w:p>
      <w:pPr>
        <w:pStyle w:val="828"/>
        <w:numPr>
          <w:ilvl w:val="0"/>
          <w:numId w:val="7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в тексте документа, за исключением формул, таблиц и рисунков, не допускается:</w:t>
      </w:r>
      <w:r/>
    </w:p>
    <w:p>
      <w:pPr>
        <w:pStyle w:val="828"/>
        <w:numPr>
          <w:ilvl w:val="1"/>
          <w:numId w:val="7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применять математический знак минус (-) перед отрицательными значениями величин (следует писать слово "минус");</w:t>
      </w:r>
      <w:r/>
    </w:p>
    <w:p>
      <w:pPr>
        <w:pStyle w:val="828"/>
        <w:numPr>
          <w:ilvl w:val="1"/>
          <w:numId w:val="7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применять знак "</w:t>
        <mc:AlternateContent>
          <mc:Choice Requires="wpg">
            <w:drawing>
              <wp:inline xmlns:wp="http://schemas.openxmlformats.org/drawingml/2006/wordprocessingDrawing" distT="0" distB="0" distL="0" distR="0">
                <wp:extent cx="152400" cy="180975"/>
                <wp:effectExtent l="0" t="0" r="0" b="0"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88043491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52399" cy="1809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2.0pt;height:14.2pt;" stroked="false">
                <v:path textboxrect="0,0,0,0"/>
                <v:imagedata r:id="rId11" o:title=""/>
              </v:shape>
            </w:pict>
          </mc:Fallback>
        </mc:AlternateContent>
        <w:t xml:space="preserve">" для обозначения диаметра (следует писать слово "диаметр"). При указании размера или предельных отклонений диаметра на чертежах, помещенных в тексте документа, перед размерным числом следует писать знак "</w:t>
        <mc:AlternateContent>
          <mc:Choice Requires="wpg">
            <w:drawing>
              <wp:inline xmlns:wp="http://schemas.openxmlformats.org/drawingml/2006/wordprocessingDrawing" distT="0" distB="0" distL="0" distR="0">
                <wp:extent cx="152400" cy="180975"/>
                <wp:effectExtent l="0" t="0" r="0" b="0"/>
                <wp:docPr id="2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9774306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52399" cy="1809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12.0pt;height:14.2pt;" stroked="false">
                <v:path textboxrect="0,0,0,0"/>
                <v:imagedata r:id="rId11" o:title=""/>
              </v:shape>
            </w:pict>
          </mc:Fallback>
        </mc:AlternateContent>
        <w:t xml:space="preserve">";</w:t>
      </w:r>
      <w:r/>
    </w:p>
    <w:p>
      <w:pPr>
        <w:pStyle w:val="828"/>
        <w:numPr>
          <w:ilvl w:val="1"/>
          <w:numId w:val="7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применять без числовых значений математические знаки, например &gt; (больше), &lt; (меньше), = (равно), </w:t>
        <mc:AlternateContent>
          <mc:Choice Requires="wpg">
            <w:drawing>
              <wp:inline xmlns:wp="http://schemas.openxmlformats.org/drawingml/2006/wordprocessingDrawing" distT="0" distB="0" distL="0" distR="0">
                <wp:extent cx="123825" cy="152400"/>
                <wp:effectExtent l="0" t="0" r="0" b="0"/>
                <wp:docPr id="3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5225025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23824" cy="1523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9.8pt;height:12.0pt;" stroked="false">
                <v:path textboxrect="0,0,0,0"/>
                <v:imagedata r:id="rId12" o:title=""/>
              </v:shape>
            </w:pict>
          </mc:Fallback>
        </mc:AlternateContent>
        <w:t xml:space="preserve"> (больше или равно), </w:t>
        <mc:AlternateContent>
          <mc:Choice Requires="wpg">
            <w:drawing>
              <wp:inline xmlns:wp="http://schemas.openxmlformats.org/drawingml/2006/wordprocessingDrawing" distT="0" distB="0" distL="0" distR="0">
                <wp:extent cx="123825" cy="152400"/>
                <wp:effectExtent l="0" t="0" r="0" b="0"/>
                <wp:docPr id="4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2943445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23824" cy="1523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9.8pt;height:12.0pt;" stroked="false">
                <v:path textboxrect="0,0,0,0"/>
                <v:imagedata r:id="rId13" o:title=""/>
              </v:shape>
            </w:pict>
          </mc:Fallback>
        </mc:AlternateContent>
        <w:t xml:space="preserve"> (меньше или равно), </w:t>
        <mc:AlternateContent>
          <mc:Choice Requires="wpg">
            <w:drawing>
              <wp:inline xmlns:wp="http://schemas.openxmlformats.org/drawingml/2006/wordprocessingDrawing" distT="0" distB="0" distL="0" distR="0">
                <wp:extent cx="142875" cy="152400"/>
                <wp:effectExtent l="0" t="0" r="0" b="0"/>
                <wp:docPr id="5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6319864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42875" cy="1523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mso-wrap-distance-left:0.0pt;mso-wrap-distance-top:0.0pt;mso-wrap-distance-right:0.0pt;mso-wrap-distance-bottom:0.0pt;width:11.2pt;height:12.0pt;" stroked="false">
                <v:path textboxrect="0,0,0,0"/>
                <v:imagedata r:id="rId14" o:title=""/>
              </v:shape>
            </w:pict>
          </mc:Fallback>
        </mc:AlternateContent>
        <w:t xml:space="preserve"> (не равно), а также знаки N (номер), % (процент);</w:t>
      </w:r>
      <w:r/>
    </w:p>
    <w:p>
      <w:pPr>
        <w:pStyle w:val="828"/>
        <w:numPr>
          <w:ilvl w:val="1"/>
          <w:numId w:val="7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применять индексы стандартов, технических условий и других документов без регистрационного номера.</w:t>
      </w:r>
      <w:r/>
    </w:p>
    <w:p>
      <w:pPr>
        <w:ind w:left="0" w:firstLine="0"/>
      </w:pPr>
      <w:r>
        <w:rPr>
          <w:highlight w:val="none"/>
        </w:rPr>
        <w:t xml:space="preserve">Оформление иллюстраций и приложений:</w:t>
      </w:r>
      <w:r>
        <w:rPr>
          <w:highlight w:val="none"/>
        </w:rPr>
      </w:r>
    </w:p>
    <w:p>
      <w:pPr>
        <w:pStyle w:val="828"/>
        <w:numPr>
          <w:ilvl w:val="0"/>
          <w:numId w:val="7"/>
        </w:numPr>
      </w:pPr>
      <w:r>
        <w:rPr>
          <w:highlight w:val="none"/>
        </w:rPr>
      </w:r>
      <w:r>
        <w:rPr>
          <w:highlight w:val="none"/>
        </w:rPr>
        <w:t xml:space="preserve">к</w:t>
      </w:r>
      <w:r>
        <w:rPr>
          <w:highlight w:val="white"/>
        </w:rPr>
        <w:t xml:space="preserve">оличество иллюстраций должно быть достаточным для пояснения излагаемого текста. Иллюстрации могут быть расположены как по тексту документа (возможно ближе к </w:t>
      </w:r>
      <w:r>
        <w:rPr>
          <w:highlight w:val="white"/>
        </w:rPr>
        <w:t xml:space="preserve">соответствующим частям текста), так и в конце его.</w:t>
      </w:r>
      <w:r>
        <w:rPr>
          <w:highlight w:val="none"/>
        </w:rPr>
        <w:t xml:space="preserve"> </w:t>
      </w:r>
      <w:r>
        <w:rPr>
          <w:highlight w:val="white"/>
        </w:rPr>
        <w:t xml:space="preserve">Иллюстрации, за исключением иллюстраций приложений, следует нумеровать арабскими цифрами сквозной нумерацией. Если рисунок один, то он обозначается "Рисунок 1"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7"/>
        </w:numPr>
      </w:pPr>
      <w:r>
        <w:t xml:space="preserve">допускается не нумеровать мелкие иллюстрации (мелкие рисунки), размещенные непосредственно в тексте и на которые в дальнейшем нет ссылок;</w:t>
      </w:r>
      <w:r/>
    </w:p>
    <w:p>
      <w:pPr>
        <w:pStyle w:val="828"/>
        <w:numPr>
          <w:ilvl w:val="0"/>
          <w:numId w:val="7"/>
        </w:numPr>
      </w:pPr>
      <w:r>
        <w:t xml:space="preserve">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точкой. Например - Рисунок 1.1;</w:t>
      </w:r>
      <w:r/>
    </w:p>
    <w:p>
      <w:pPr>
        <w:pStyle w:val="828"/>
        <w:numPr>
          <w:ilvl w:val="0"/>
          <w:numId w:val="7"/>
        </w:numPr>
      </w:pPr>
      <w:r>
        <w:t xml:space="preserve">при ссылках на иллюстрации следует писать "... в соответствии с рисунком 2" при сквозной нумерации и "... в соответствии с рисунком 1.2" при нумерации в пределах раздела;</w:t>
      </w:r>
      <w:r/>
    </w:p>
    <w:p>
      <w:pPr>
        <w:pStyle w:val="828"/>
        <w:numPr>
          <w:ilvl w:val="0"/>
          <w:numId w:val="7"/>
        </w:numPr>
      </w:pPr>
      <w:r>
        <w:t xml:space="preserve">иллюстрации, при необходимости, могут иметь наименование и пояснительные данные (подрисуночный текст). Слово "Рисунок" и наименование помещают после пояснительных данных и располагают </w:t>
      </w:r>
      <w:r>
        <w:t xml:space="preserve">следующим образом: Рисунок 1 - Детали прибора;</w:t>
      </w:r>
      <w:r/>
    </w:p>
    <w:p>
      <w:pPr>
        <w:pStyle w:val="828"/>
        <w:numPr>
          <w:ilvl w:val="0"/>
          <w:numId w:val="7"/>
        </w:numPr>
      </w:pPr>
      <w:r>
        <w:rPr>
          <w:highlight w:val="none"/>
        </w:rPr>
      </w:r>
      <w:r>
        <w:rPr>
          <w:highlight w:val="none"/>
        </w:rPr>
        <w:t xml:space="preserve">м</w:t>
      </w:r>
      <w:r>
        <w:rPr>
          <w:highlight w:val="white"/>
        </w:rPr>
        <w:t xml:space="preserve">атериал, дополняющий текст документа, допускается помещать в приложениях. Приложениями могут быть, например, графический материал, таблицы большого формата, расчеты, описания аппаратуры и приборов, описания алгоритмов и программ задач, решаемых на ЭВМ, и </w:t>
      </w:r>
      <w:r>
        <w:rPr>
          <w:highlight w:val="white"/>
        </w:rPr>
        <w:t xml:space="preserve">т.д.</w:t>
      </w:r>
      <w:r>
        <w:rPr>
          <w:highlight w:val="none"/>
        </w:rPr>
        <w:t xml:space="preserve">;</w:t>
      </w:r>
      <w:r>
        <w:rPr>
          <w:highlight w:val="none"/>
        </w:rPr>
      </w:r>
    </w:p>
    <w:p>
      <w:pPr>
        <w:pStyle w:val="828"/>
        <w:numPr>
          <w:ilvl w:val="0"/>
          <w:numId w:val="7"/>
        </w:numPr>
      </w:pPr>
      <w:r>
        <w:t xml:space="preserve">в тексте документа на все приложения должны быть даны ссылки. Степень обязательности приложений при ссылках не указывается. Приложения располагают в порядке ссылок на них в тексте документа, за исключением информационного приложения "Библиография", к</w:t>
      </w:r>
      <w:r>
        <w:t xml:space="preserve">оторое располагают последним;</w:t>
      </w:r>
      <w:r/>
    </w:p>
    <w:p>
      <w:pPr>
        <w:pStyle w:val="828"/>
        <w:numPr>
          <w:ilvl w:val="0"/>
          <w:numId w:val="7"/>
        </w:numPr>
      </w:pPr>
      <w:r>
        <w:t xml:space="preserve">каждое приложение следует начинать с новой страницы с указанием наверху посередине страницы слова "Приложение" и его обозначения, а под ним в скобках для обязательного приложения пишут слово "обязательное", а для информационного - "рекомендуемое" или</w:t>
      </w:r>
      <w:r>
        <w:t xml:space="preserve"> "справочное";</w:t>
      </w:r>
      <w:r/>
    </w:p>
    <w:p>
      <w:pPr>
        <w:pStyle w:val="828"/>
        <w:numPr>
          <w:ilvl w:val="0"/>
          <w:numId w:val="7"/>
        </w:numPr>
      </w:pPr>
      <w:r>
        <w:rPr>
          <w:highlight w:val="none"/>
        </w:rPr>
      </w:r>
      <w:r>
        <w:rPr>
          <w:highlight w:val="none"/>
        </w:rPr>
        <w:t xml:space="preserve">п</w:t>
      </w:r>
      <w:r>
        <w:rPr>
          <w:highlight w:val="white"/>
        </w:rPr>
        <w:t xml:space="preserve">риложения обозначают заглавными буквами русского алфавита, начиная с А, за исключением букв Ё, З, Й, О, Ч, Ь, Ы, Ъ. После слова "Приложение" следует буква, обозначающая его последовательность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7"/>
        </w:numPr>
      </w:pPr>
      <w:r>
        <w:rPr>
          <w:highlight w:val="none"/>
        </w:rPr>
      </w:r>
      <w:r>
        <w:rPr>
          <w:highlight w:val="none"/>
        </w:rPr>
        <w:t xml:space="preserve">т</w:t>
      </w:r>
      <w:r>
        <w:rPr>
          <w:highlight w:val="white"/>
        </w:rPr>
        <w:t xml:space="preserve">екст каждого приложения, при необходимости, может быть разделен на разделы, подразделы, пункты, подпункты, которые нумеруют в пределах каждого приложения. Перед номером ставится обозначение этого приложения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7"/>
        </w:numPr>
      </w:pPr>
      <w:r>
        <w:rPr>
          <w:highlight w:val="none"/>
        </w:rPr>
      </w:r>
      <w:r>
        <w:rPr>
          <w:highlight w:val="none"/>
        </w:rPr>
        <w:t xml:space="preserve">в</w:t>
      </w:r>
      <w:r>
        <w:rPr>
          <w:highlight w:val="white"/>
        </w:rPr>
        <w:t xml:space="preserve">се приложения должны быть перечислены в содержании документа (при наличии) с указанием их номеров и заголовков.</w:t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Оформление таблиц:</w:t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н</w:t>
      </w:r>
      <w:r>
        <w:rPr>
          <w:highlight w:val="white"/>
        </w:rPr>
        <w:t xml:space="preserve">азвание таблицы, при его наличии, должно отражать ее содержание, быть точным, кратким, его следует помещать над таблицей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п</w:t>
      </w:r>
      <w:r>
        <w:rPr>
          <w:highlight w:val="white"/>
        </w:rPr>
        <w:t xml:space="preserve">ри переносе части таблицы на ту же или другие страницы название помещают только над первой частью таблицы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</w:pPr>
      <w:r>
        <w:rPr>
          <w:highlight w:val="none"/>
        </w:rPr>
      </w:r>
      <w:r>
        <w:rPr>
          <w:highlight w:val="none"/>
        </w:rPr>
        <w:t xml:space="preserve">т</w:t>
      </w:r>
      <w:r>
        <w:rPr>
          <w:highlight w:val="white"/>
        </w:rPr>
        <w:t xml:space="preserve">аблицы, за исключением таблиц приложений, следует нумеровать арабскими цифрами сквозной нумерацией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н</w:t>
      </w:r>
      <w:r>
        <w:rPr>
          <w:highlight w:val="white"/>
        </w:rPr>
        <w:t xml:space="preserve">а все таблицы документа должны быть приведены ссылки в тексте документа, при ссылке следует писать слово "таблица" с указанием ее номера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т</w:t>
      </w:r>
      <w:r>
        <w:rPr>
          <w:highlight w:val="white"/>
        </w:rPr>
        <w:t xml:space="preserve">аблицы слева, справа и снизу, как правило, ограничивают линиями</w:t>
      </w:r>
      <w:r>
        <w:rPr>
          <w:highlight w:val="none"/>
        </w:rPr>
        <w:t xml:space="preserve">;</w:t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г</w:t>
      </w:r>
      <w:r>
        <w:rPr>
          <w:highlight w:val="white"/>
        </w:rPr>
        <w:t xml:space="preserve">оловка таблицы должна быть отделена линией от остальной части таблицы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т</w:t>
      </w:r>
      <w:r>
        <w:rPr>
          <w:highlight w:val="white"/>
        </w:rPr>
        <w:t xml:space="preserve">аблицу, в зависимости от ее размера, помещают под текстом, в котором впервые дана ссылка на нее, или на следующей странице, а при необходимости, в приложении к документу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п</w:t>
      </w:r>
      <w:r>
        <w:rPr>
          <w:highlight w:val="white"/>
        </w:rPr>
        <w:t xml:space="preserve">ри необходимости нумерация показателей, параметров или других данных порядковые номера следует указывать в первой графе (боковике) таблицы непосредственно перед их наименованием</w:t>
      </w:r>
      <w:r>
        <w:rPr>
          <w:highlight w:val="none"/>
        </w:rPr>
        <w:t xml:space="preserve">;</w:t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д</w:t>
      </w:r>
      <w:r>
        <w:rPr>
          <w:highlight w:val="white"/>
        </w:rPr>
        <w:t xml:space="preserve">ля сокращения текста заголовков и подзаголовков граф отдельные понятия заменяют буквенными обозначениями, установленными </w:t>
      </w:r>
      <w:r>
        <w:rPr>
          <w:highlight w:val="white"/>
        </w:rPr>
        <w:t xml:space="preserve">ГОСТ 2.321</w:t>
      </w:r>
      <w:r>
        <w:rPr>
          <w:highlight w:val="white"/>
        </w:rPr>
        <w:t xml:space="preserve">, или другими обозначениями, если они пояснены в тексте или приведены на иллюстрациях</w:t>
      </w:r>
      <w:r>
        <w:rPr>
          <w:highlight w:val="none"/>
        </w:rPr>
        <w:t xml:space="preserve">;</w:t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о</w:t>
      </w:r>
      <w:r>
        <w:rPr>
          <w:highlight w:val="white"/>
        </w:rPr>
        <w:t xml:space="preserve">граничительные слова "более", "не более", "менее", "не менее" и др. должны быть помещены в одной строке или графе таблицы с наименованием соответствующего показателя после обозначения его единицы физической величины, если они относятся ко всей строке или </w:t>
      </w:r>
      <w:r>
        <w:rPr>
          <w:highlight w:val="white"/>
        </w:rPr>
        <w:t xml:space="preserve">графе, при этом после наименования показателя перед ограничительными словами ставится запятая</w:t>
      </w:r>
      <w:r>
        <w:rPr>
          <w:highlight w:val="none"/>
        </w:rPr>
        <w:t xml:space="preserve">;</w:t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о</w:t>
      </w:r>
      <w:r>
        <w:rPr>
          <w:highlight w:val="white"/>
        </w:rPr>
        <w:t xml:space="preserve">бозначение единицы физической величины, общей для всех данных в строке, следует указывать после ее наименования</w:t>
      </w:r>
      <w:r>
        <w:rPr>
          <w:highlight w:val="none"/>
        </w:rPr>
        <w:t xml:space="preserve">;</w:t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п</w:t>
      </w:r>
      <w:r>
        <w:rPr>
          <w:highlight w:val="white"/>
        </w:rPr>
        <w:t xml:space="preserve">ри отсутствии отдельных данных в таблице следует ставить прочерк (тире)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8"/>
        </w:numPr>
        <w:ind w:right="0"/>
        <w:jc w:val="both"/>
        <w:spacing w:before="0" w:after="0"/>
        <w:shd w:val="clear" w:color="ffffff" w:fill="ffffff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при указании в таблицах последовательных интервалов чисел, охватывающих все числа ряда, их следует записывать: "От ... до ... включ.", "Св. ... до ... включ.", в</w:t>
      </w:r>
      <w:r>
        <w:t xml:space="preserve"> интервале, охватывающем числа ряда, между крайними числами ряда в таблице допускается ставить тире.</w:t>
      </w:r>
      <w:r/>
    </w:p>
    <w:p>
      <w:r>
        <w:rPr>
          <w:highlight w:val="none"/>
        </w:rPr>
        <w:t xml:space="preserve">Оформление сносок:</w:t>
      </w:r>
      <w:r>
        <w:rPr>
          <w:highlight w:val="none"/>
        </w:rPr>
      </w:r>
    </w:p>
    <w:p>
      <w:pPr>
        <w:pStyle w:val="828"/>
        <w:numPr>
          <w:ilvl w:val="0"/>
          <w:numId w:val="11"/>
        </w:numPr>
      </w:pPr>
      <w:r>
        <w:t xml:space="preserve">если необходимо пояснить отдельные данные, приведенные в документе, то эти данные следует обозначать надстрочными знаками сноски. </w:t>
      </w:r>
      <w:r>
        <w:t xml:space="preserve">Сноски в тексте располагают с абзацного отступа в конце страницы, на которой они обозначены, и отделяют от текста короткой тонкой горизонтальной линией с левой стороны, а к данным, расположенным в таблице, в конце таблицы над линией, обозначающей окончание</w:t>
      </w:r>
      <w:r>
        <w:t xml:space="preserve"> таблицы;</w:t>
      </w:r>
      <w:r/>
    </w:p>
    <w:p>
      <w:pPr>
        <w:pStyle w:val="828"/>
        <w:numPr>
          <w:ilvl w:val="0"/>
          <w:numId w:val="11"/>
        </w:numPr>
      </w:pPr>
      <w:r>
        <w:rPr>
          <w:highlight w:val="none"/>
        </w:rPr>
      </w:r>
      <w:r>
        <w:rPr>
          <w:highlight w:val="none"/>
        </w:rPr>
        <w:t xml:space="preserve">з</w:t>
      </w:r>
      <w:r>
        <w:rPr>
          <w:highlight w:val="white"/>
        </w:rPr>
        <w:t xml:space="preserve">нак сноски ставят непосредственно после того слова, числа, символа, предложения, к которому дается пояснение, и перед текстом пояснения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11"/>
        </w:numPr>
      </w:pPr>
      <w:r>
        <w:rPr>
          <w:highlight w:val="none"/>
        </w:rPr>
        <w:t xml:space="preserve">з</w:t>
      </w:r>
      <w:r>
        <w:rPr>
          <w:highlight w:val="white"/>
        </w:rPr>
        <w:t xml:space="preserve">нак сноски выполняют арабскими цифрами со скобкой и помещают на уровне верхнего обреза шрифта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11"/>
        </w:numPr>
      </w:pPr>
      <w:r>
        <w:rPr>
          <w:highlight w:val="none"/>
        </w:rPr>
      </w:r>
      <w:r>
        <w:rPr>
          <w:highlight w:val="none"/>
        </w:rPr>
        <w:t xml:space="preserve">н</w:t>
      </w:r>
      <w:r>
        <w:rPr>
          <w:highlight w:val="white"/>
        </w:rPr>
        <w:t xml:space="preserve">умерация сносок отдельная для каждой страницы</w:t>
      </w:r>
      <w:r>
        <w:rPr>
          <w:highlight w:val="none"/>
        </w:rPr>
        <w:t xml:space="preserve">.</w:t>
      </w:r>
      <w:r>
        <w:rPr>
          <w:highlight w:val="none"/>
        </w:rPr>
      </w:r>
    </w:p>
    <w:p>
      <w:pPr>
        <w:ind w:left="0" w:firstLine="0"/>
        <w:rPr>
          <w:highlight w:val="none"/>
        </w:rPr>
      </w:pPr>
      <w:r>
        <w:rPr>
          <w:highlight w:val="none"/>
        </w:rPr>
      </w:r>
      <w:r>
        <w:rPr>
          <w:highlight w:val="white"/>
        </w:rPr>
        <w:t xml:space="preserve">Требования к текстовым документам, содержащим текст, разбитый на графы</w:t>
      </w:r>
      <w:r>
        <w:rPr>
          <w:highlight w:val="none"/>
        </w:rPr>
        <w:t xml:space="preserve">:</w:t>
      </w:r>
      <w:r>
        <w:rPr>
          <w:highlight w:val="none"/>
        </w:rPr>
      </w:r>
    </w:p>
    <w:p>
      <w:pPr>
        <w:pStyle w:val="828"/>
        <w:numPr>
          <w:ilvl w:val="0"/>
          <w:numId w:val="13"/>
        </w:numPr>
      </w:pPr>
      <w:r>
        <w:t xml:space="preserve">текстовые документы, содержащие текст, разбитый на графы, при необходимости, разделяют на разделы и подразделы, которые не нумеруют;</w:t>
      </w:r>
      <w:r/>
    </w:p>
    <w:p>
      <w:pPr>
        <w:pStyle w:val="828"/>
        <w:numPr>
          <w:ilvl w:val="0"/>
          <w:numId w:val="13"/>
        </w:numPr>
        <w:rPr>
          <w:highlight w:val="none"/>
        </w:rPr>
      </w:pPr>
      <w:r>
        <w:t xml:space="preserve">наименования разделов и подразделов записывают в виде заголовков строчными буквами (кроме первой прописной) и подчеркивают;</w:t>
      </w:r>
      <w:r/>
    </w:p>
    <w:p>
      <w:pPr>
        <w:pStyle w:val="828"/>
        <w:numPr>
          <w:ilvl w:val="0"/>
          <w:numId w:val="13"/>
        </w:numPr>
      </w:pPr>
      <w:r>
        <w:rPr>
          <w:highlight w:val="none"/>
        </w:rPr>
      </w:r>
      <w:r>
        <w:rPr>
          <w:highlight w:val="none"/>
        </w:rPr>
        <w:t xml:space="preserve">в</w:t>
      </w:r>
      <w:r>
        <w:rPr>
          <w:highlight w:val="white"/>
        </w:rPr>
        <w:t xml:space="preserve"> текстовых документах в бумажной форме, имеющих строки, все записи проводят на каждой строке в один ряд</w:t>
      </w:r>
      <w:r>
        <w:rPr>
          <w:highlight w:val="none"/>
        </w:rPr>
        <w:t xml:space="preserve">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13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д</w:t>
      </w:r>
      <w:r>
        <w:rPr>
          <w:highlight w:val="white"/>
        </w:rPr>
        <w:t xml:space="preserve">ля электронных документов при выводе на бумажный носитель или устройство отображения с использованием программных средств допускаются отклонения по формам исполнения таблиц (размеры рамок, граф и т.п.) и размещению текста (размеры полей, интервалы и т.д.)</w:t>
      </w:r>
      <w:r>
        <w:rPr>
          <w:highlight w:val="white"/>
        </w:rPr>
        <w:t xml:space="preserve"> с соблюдением при этом требований к оформлению текстовых документов.</w:t>
      </w:r>
      <w:r>
        <w:rPr>
          <w:highlight w:val="none"/>
        </w:rPr>
      </w:r>
      <w:r/>
    </w:p>
    <w:p>
      <w:pPr>
        <w:rPr>
          <w:highlight w:val="none"/>
        </w:rPr>
      </w:pPr>
      <w:r>
        <w:rPr>
          <w:highlight w:val="none"/>
        </w:rPr>
      </w:r>
      <w:r>
        <w:rPr>
          <w:highlight w:val="white"/>
        </w:rPr>
        <w:t xml:space="preserve">Требования к оформлению титульного листа и листа утверждения</w:t>
      </w:r>
      <w:r>
        <w:rPr>
          <w:highlight w:val="none"/>
        </w:rPr>
        <w:t xml:space="preserve">:</w:t>
      </w:r>
      <w:r>
        <w:rPr>
          <w:highlight w:val="none"/>
        </w:rPr>
      </w:r>
    </w:p>
    <w:p>
      <w:pPr>
        <w:pStyle w:val="828"/>
        <w:numPr>
          <w:ilvl w:val="0"/>
          <w:numId w:val="14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титульный лист является первым листом документа. Титульный лист, составленный на альбом документов, является первым листом описи этого альбома;</w:t>
      </w:r>
      <w:r/>
    </w:p>
    <w:p>
      <w:pPr>
        <w:pStyle w:val="828"/>
        <w:numPr>
          <w:ilvl w:val="0"/>
          <w:numId w:val="14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лист утверждения (ЛУ) выпускают для документов, на которых по условиям их использования разработчик и (или) заказчик считает нецелесообразным приводить наименования организаций, должности и фамилии лиц, подписавших эти документы;</w:t>
      </w:r>
      <w:r/>
    </w:p>
    <w:p>
      <w:pPr>
        <w:pStyle w:val="828"/>
        <w:numPr>
          <w:ilvl w:val="0"/>
          <w:numId w:val="14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ЛУ выпускают на один документ, на несколько документов, на альбом документов или комплект документов. Допускается выпускать ЛУ на отдельную часть или несколько частей  документа;</w:t>
      </w:r>
      <w:r/>
    </w:p>
    <w:p>
      <w:pPr>
        <w:pStyle w:val="828"/>
        <w:numPr>
          <w:ilvl w:val="0"/>
          <w:numId w:val="14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обозначение ЛУ состоит из обозначения документа, к которому он относится, с добавлением через дефис кода ЛУ, например ХХХХ.ХХХХХХ.ХХХТУ-ЛУ;</w:t>
      </w:r>
      <w:r/>
    </w:p>
    <w:p>
      <w:pPr>
        <w:pStyle w:val="828"/>
        <w:numPr>
          <w:ilvl w:val="0"/>
          <w:numId w:val="14"/>
        </w:numPr>
      </w:pPr>
      <w:r>
        <w:t xml:space="preserve">если ЛУ выпускается на альбом документов, ему присваивают обозначение одного из этих документов с добавлением через дефис кода ЛУ и записывают в опись альбома первым;</w:t>
      </w:r>
      <w:r/>
    </w:p>
    <w:p>
      <w:pPr>
        <w:pStyle w:val="828"/>
        <w:numPr>
          <w:ilvl w:val="0"/>
          <w:numId w:val="14"/>
        </w:numPr>
      </w:pPr>
      <w:r>
        <w:t xml:space="preserve">если ЛУ выпускается на несколько документов, ему присваивают обозначение одного из этих документов с добавлением через дефис кода ЛУ и записывают в спецификацию, в которую входит этот документ;</w:t>
      </w:r>
      <w:r/>
    </w:p>
    <w:p>
      <w:pPr>
        <w:pStyle w:val="828"/>
        <w:numPr>
          <w:ilvl w:val="0"/>
          <w:numId w:val="14"/>
        </w:numPr>
      </w:pPr>
      <w:r>
        <w:t xml:space="preserve">если ЛУ выпускается на комплект документов, ему присваивают обозначение спецификации с добавлением кода ЛУ и записывают в спецификацию в раздел "Документация" первым;</w:t>
      </w:r>
      <w:r/>
    </w:p>
    <w:p>
      <w:pPr>
        <w:pStyle w:val="828"/>
        <w:numPr>
          <w:ilvl w:val="0"/>
          <w:numId w:val="14"/>
        </w:numPr>
        <w:rPr>
          <w:highlight w:val="none"/>
        </w:rPr>
      </w:pPr>
      <w:r>
        <w:t xml:space="preserve">при записи ЛУ в спецификацию следует указывать в графе "Примечание" - "Размножать по указанию";</w:t>
      </w:r>
      <w:r>
        <w:rPr>
          <w:highlight w:val="none"/>
        </w:rPr>
      </w:r>
      <w:r>
        <w:rPr>
          <w:highlight w:val="none"/>
        </w:rPr>
      </w:r>
    </w:p>
    <w:p>
      <w:pPr>
        <w:pStyle w:val="828"/>
        <w:numPr>
          <w:ilvl w:val="0"/>
          <w:numId w:val="14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т</w:t>
      </w:r>
      <w:r>
        <w:rPr>
          <w:highlight w:val="white"/>
        </w:rPr>
        <w:t xml:space="preserve">итульный лист и ЛУ выполняют на листах формата А4 по </w:t>
      </w:r>
      <w:r>
        <w:rPr>
          <w:highlight w:val="white"/>
        </w:rPr>
        <w:t xml:space="preserve">ГОСТ 2.301</w:t>
      </w:r>
      <w:r>
        <w:rPr>
          <w:highlight w:val="none"/>
        </w:rPr>
        <w:t xml:space="preserve">.</w:t>
      </w:r>
      <w:r>
        <w:rPr>
          <w:highlight w:val="none"/>
        </w:rPr>
      </w:r>
    </w:p>
    <w:p>
      <w:pPr>
        <w:rPr>
          <w:highlight w:val="none"/>
        </w:rPr>
      </w:pPr>
      <w:r>
        <w:t xml:space="preserve">   Требования к оформлению документов для двустороннего копирования:</w:t>
      </w:r>
      <w:r/>
    </w:p>
    <w:p>
      <w:pPr>
        <w:pStyle w:val="828"/>
        <w:numPr>
          <w:ilvl w:val="0"/>
          <w:numId w:val="15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д</w:t>
      </w:r>
      <w:r>
        <w:rPr>
          <w:highlight w:val="white"/>
        </w:rPr>
        <w:t xml:space="preserve">ля двустороннего копирования листы документа выполняют сдвоенными с линией сгиба посередине, основную надпись приводят на обеих половинах каждого листа, за исключением дополнительных граф, которые помещают только на нечетной странице</w:t>
      </w:r>
      <w:r>
        <w:rPr>
          <w:highlight w:val="none"/>
        </w:rPr>
        <w:t xml:space="preserve">;</w:t>
      </w:r>
      <w:r>
        <w:rPr>
          <w:highlight w:val="none"/>
        </w:rPr>
      </w:r>
    </w:p>
    <w:p>
      <w:pPr>
        <w:pStyle w:val="828"/>
        <w:numPr>
          <w:ilvl w:val="0"/>
          <w:numId w:val="15"/>
        </w:numPr>
        <w:rPr>
          <w:highlight w:val="none"/>
        </w:rPr>
      </w:pPr>
      <w:r>
        <w:rPr>
          <w:highlight w:val="none"/>
        </w:rPr>
      </w:r>
      <w:r>
        <w:rPr>
          <w:highlight w:val="none"/>
        </w:rPr>
        <w:t xml:space="preserve">в</w:t>
      </w:r>
      <w:r>
        <w:rPr>
          <w:highlight w:val="white"/>
        </w:rPr>
        <w:t xml:space="preserve"> основных надписях наименование графы "Лист" изменяют на "С.", а наименование "Листов" (на заглавных листах) на "Страниц"</w:t>
      </w:r>
      <w:r>
        <w:rPr>
          <w:highlight w:val="none"/>
        </w:rPr>
        <w:t xml:space="preserve">;</w:t>
      </w:r>
      <w:r>
        <w:rPr>
          <w:highlight w:val="none"/>
        </w:rPr>
      </w:r>
    </w:p>
    <w:p>
      <w:pPr>
        <w:pStyle w:val="828"/>
        <w:numPr>
          <w:ilvl w:val="0"/>
          <w:numId w:val="15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отдельные листы документа (например, титульный лист или листы с приложениями графического содержания) издают без заполнения оборотной стороны копии; на таких листах указывают нечетные номера страниц, а соответствующие им четные номера страниц не указы</w:t>
      </w:r>
      <w:r>
        <w:t xml:space="preserve">вают, но включают в общее количество страниц документа;</w:t>
      </w:r>
      <w:r/>
    </w:p>
    <w:p>
      <w:pPr>
        <w:pStyle w:val="828"/>
        <w:numPr>
          <w:ilvl w:val="0"/>
          <w:numId w:val="15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для документов, выполненных способом двустороннего копирования, формат и количество листов указывают следующим образом:</w:t>
      </w:r>
      <w:r/>
    </w:p>
    <w:p>
      <w:pPr>
        <w:pStyle w:val="828"/>
        <w:numPr>
          <w:ilvl w:val="1"/>
          <w:numId w:val="15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формат записывают в виде дроби, где в числителе указывают формат сдвоенных листов документа, а в знаменателе - формат копий, например А3/А4;</w:t>
      </w:r>
      <w:r/>
    </w:p>
    <w:p>
      <w:pPr>
        <w:pStyle w:val="828"/>
        <w:numPr>
          <w:ilvl w:val="1"/>
          <w:numId w:val="15"/>
        </w:numPr>
        <w:ind w:right="0"/>
        <w:jc w:val="both"/>
        <w:spacing w:before="0" w:after="0"/>
        <w:shd w:val="clear" w:color="ffffff" w:fill="ffff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t xml:space="preserve">количество листов также записывают в виде дроби: в числителе - количество сдвоенных листов документа, а в знаменателе - количество страниц, например 45/с.90.</w:t>
      </w: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68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88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28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48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88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en-US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>
    <w:name w:val="Heading 1"/>
    <w:basedOn w:val="824"/>
    <w:next w:val="824"/>
    <w:link w:val="649"/>
    <w:uiPriority w:val="9"/>
    <w:qFormat/>
    <w:rPr>
      <w:b/>
      <w:szCs w:val="24"/>
      <w:rtl w:val="false"/>
    </w:rPr>
  </w:style>
  <w:style w:type="character" w:styleId="649">
    <w:name w:val="Heading 1 Char"/>
    <w:link w:val="648"/>
    <w:uiPriority w:val="9"/>
    <w:rPr>
      <w:b/>
      <w:szCs w:val="24"/>
      <w:rtl w:val="false"/>
    </w:rPr>
  </w:style>
  <w:style w:type="paragraph" w:styleId="650">
    <w:name w:val="Heading 2"/>
    <w:basedOn w:val="824"/>
    <w:next w:val="824"/>
    <w:link w:val="6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51">
    <w:name w:val="Heading 2 Char"/>
    <w:link w:val="650"/>
    <w:uiPriority w:val="9"/>
    <w:rPr>
      <w:rFonts w:ascii="Arial" w:hAnsi="Arial" w:cs="Arial" w:eastAsia="Arial"/>
      <w:sz w:val="34"/>
    </w:rPr>
  </w:style>
  <w:style w:type="paragraph" w:styleId="652">
    <w:name w:val="Heading 3"/>
    <w:basedOn w:val="824"/>
    <w:next w:val="824"/>
    <w:link w:val="6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53">
    <w:name w:val="Heading 3 Char"/>
    <w:link w:val="652"/>
    <w:uiPriority w:val="9"/>
    <w:rPr>
      <w:rFonts w:ascii="Arial" w:hAnsi="Arial" w:cs="Arial" w:eastAsia="Arial"/>
      <w:sz w:val="30"/>
      <w:szCs w:val="30"/>
    </w:rPr>
  </w:style>
  <w:style w:type="paragraph" w:styleId="654">
    <w:name w:val="Heading 4"/>
    <w:basedOn w:val="824"/>
    <w:next w:val="824"/>
    <w:link w:val="6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55">
    <w:name w:val="Heading 4 Char"/>
    <w:link w:val="654"/>
    <w:uiPriority w:val="9"/>
    <w:rPr>
      <w:rFonts w:ascii="Arial" w:hAnsi="Arial" w:cs="Arial" w:eastAsia="Arial"/>
      <w:b/>
      <w:bCs/>
      <w:sz w:val="26"/>
      <w:szCs w:val="26"/>
    </w:rPr>
  </w:style>
  <w:style w:type="paragraph" w:styleId="656">
    <w:name w:val="Heading 5"/>
    <w:basedOn w:val="824"/>
    <w:next w:val="824"/>
    <w:link w:val="6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57">
    <w:name w:val="Heading 5 Char"/>
    <w:link w:val="656"/>
    <w:uiPriority w:val="9"/>
    <w:rPr>
      <w:rFonts w:ascii="Arial" w:hAnsi="Arial" w:cs="Arial" w:eastAsia="Arial"/>
      <w:b/>
      <w:bCs/>
      <w:sz w:val="24"/>
      <w:szCs w:val="24"/>
    </w:rPr>
  </w:style>
  <w:style w:type="paragraph" w:styleId="658">
    <w:name w:val="Heading 6"/>
    <w:basedOn w:val="824"/>
    <w:next w:val="824"/>
    <w:link w:val="6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59">
    <w:name w:val="Heading 6 Char"/>
    <w:link w:val="658"/>
    <w:uiPriority w:val="9"/>
    <w:rPr>
      <w:rFonts w:ascii="Arial" w:hAnsi="Arial" w:cs="Arial" w:eastAsia="Arial"/>
      <w:b/>
      <w:bCs/>
      <w:sz w:val="22"/>
      <w:szCs w:val="22"/>
    </w:rPr>
  </w:style>
  <w:style w:type="paragraph" w:styleId="660">
    <w:name w:val="Heading 7"/>
    <w:basedOn w:val="824"/>
    <w:next w:val="824"/>
    <w:link w:val="6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61">
    <w:name w:val="Heading 7 Char"/>
    <w:link w:val="66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2">
    <w:name w:val="Heading 8"/>
    <w:basedOn w:val="824"/>
    <w:next w:val="824"/>
    <w:link w:val="6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63">
    <w:name w:val="Heading 8 Char"/>
    <w:link w:val="662"/>
    <w:uiPriority w:val="9"/>
    <w:rPr>
      <w:rFonts w:ascii="Arial" w:hAnsi="Arial" w:cs="Arial" w:eastAsia="Arial"/>
      <w:i/>
      <w:iCs/>
      <w:sz w:val="22"/>
      <w:szCs w:val="22"/>
    </w:rPr>
  </w:style>
  <w:style w:type="paragraph" w:styleId="664">
    <w:name w:val="Heading 9"/>
    <w:basedOn w:val="824"/>
    <w:next w:val="824"/>
    <w:link w:val="6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65">
    <w:name w:val="Heading 9 Char"/>
    <w:link w:val="664"/>
    <w:uiPriority w:val="9"/>
    <w:rPr>
      <w:rFonts w:ascii="Arial" w:hAnsi="Arial" w:cs="Arial" w:eastAsia="Arial"/>
      <w:i/>
      <w:iCs/>
      <w:sz w:val="21"/>
      <w:szCs w:val="21"/>
    </w:rPr>
  </w:style>
  <w:style w:type="paragraph" w:styleId="666">
    <w:name w:val="Title"/>
    <w:basedOn w:val="824"/>
    <w:next w:val="824"/>
    <w:link w:val="66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67">
    <w:name w:val="Title Char"/>
    <w:link w:val="666"/>
    <w:uiPriority w:val="10"/>
    <w:rPr>
      <w:sz w:val="48"/>
      <w:szCs w:val="48"/>
    </w:rPr>
  </w:style>
  <w:style w:type="paragraph" w:styleId="668">
    <w:name w:val="Subtitle"/>
    <w:basedOn w:val="824"/>
    <w:next w:val="824"/>
    <w:link w:val="669"/>
    <w:uiPriority w:val="11"/>
    <w:qFormat/>
    <w:pPr>
      <w:spacing w:before="200" w:after="200"/>
    </w:pPr>
    <w:rPr>
      <w:sz w:val="24"/>
      <w:szCs w:val="24"/>
    </w:rPr>
  </w:style>
  <w:style w:type="character" w:styleId="669">
    <w:name w:val="Subtitle Char"/>
    <w:link w:val="668"/>
    <w:uiPriority w:val="11"/>
    <w:rPr>
      <w:sz w:val="24"/>
      <w:szCs w:val="24"/>
    </w:rPr>
  </w:style>
  <w:style w:type="paragraph" w:styleId="670">
    <w:name w:val="Quote"/>
    <w:basedOn w:val="824"/>
    <w:next w:val="824"/>
    <w:link w:val="671"/>
    <w:uiPriority w:val="29"/>
    <w:qFormat/>
    <w:pPr>
      <w:ind w:left="720" w:right="720"/>
    </w:pPr>
    <w:rPr>
      <w:i/>
    </w:rPr>
  </w:style>
  <w:style w:type="character" w:styleId="671">
    <w:name w:val="Quote Char"/>
    <w:link w:val="670"/>
    <w:uiPriority w:val="29"/>
    <w:rPr>
      <w:i/>
    </w:rPr>
  </w:style>
  <w:style w:type="paragraph" w:styleId="672">
    <w:name w:val="Intense Quote"/>
    <w:basedOn w:val="824"/>
    <w:next w:val="824"/>
    <w:link w:val="67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3">
    <w:name w:val="Intense Quote Char"/>
    <w:link w:val="672"/>
    <w:uiPriority w:val="30"/>
    <w:rPr>
      <w:i/>
    </w:rPr>
  </w:style>
  <w:style w:type="paragraph" w:styleId="674">
    <w:name w:val="Header"/>
    <w:basedOn w:val="824"/>
    <w:link w:val="67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5">
    <w:name w:val="Header Char"/>
    <w:link w:val="674"/>
    <w:uiPriority w:val="99"/>
  </w:style>
  <w:style w:type="paragraph" w:styleId="676">
    <w:name w:val="Footer"/>
    <w:basedOn w:val="824"/>
    <w:link w:val="67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 Char"/>
    <w:link w:val="676"/>
    <w:uiPriority w:val="99"/>
  </w:style>
  <w:style w:type="paragraph" w:styleId="678">
    <w:name w:val="Caption"/>
    <w:basedOn w:val="824"/>
    <w:next w:val="82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9">
    <w:name w:val="Caption Char"/>
    <w:basedOn w:val="678"/>
    <w:link w:val="676"/>
    <w:uiPriority w:val="99"/>
  </w:style>
  <w:style w:type="table" w:styleId="680">
    <w:name w:val="Table Grid"/>
    <w:basedOn w:val="82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Table Grid Light"/>
    <w:basedOn w:val="8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Plain Table 1"/>
    <w:basedOn w:val="8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2"/>
    <w:basedOn w:val="8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>
    <w:name w:val="Plain Table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Plain Table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7">
    <w:name w:val="Grid Table 1 Light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2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4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9">
    <w:name w:val="Grid Table 4 - Accent 1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0">
    <w:name w:val="Grid Table 4 - Accent 2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1">
    <w:name w:val="Grid Table 4 - Accent 3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2">
    <w:name w:val="Grid Table 4 - Accent 4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3">
    <w:name w:val="Grid Table 4 - Accent 5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4">
    <w:name w:val="Grid Table 4 - Accent 6"/>
    <w:basedOn w:val="8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5">
    <w:name w:val="Grid Table 5 Dark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6">
    <w:name w:val="Grid Table 5 Dark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7">
    <w:name w:val="Grid Table 5 Dark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9">
    <w:name w:val="Grid Table 5 Dark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0">
    <w:name w:val="Grid Table 5 Dark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2">
    <w:name w:val="Grid Table 6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3">
    <w:name w:val="Grid Table 6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4">
    <w:name w:val="Grid Table 6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5">
    <w:name w:val="Grid Table 6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6">
    <w:name w:val="Grid Table 6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7">
    <w:name w:val="Grid Table 6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6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7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7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4">
    <w:name w:val="List Table 2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5">
    <w:name w:val="List Table 2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6">
    <w:name w:val="List Table 2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7">
    <w:name w:val="List Table 2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8">
    <w:name w:val="List Table 2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9">
    <w:name w:val="List Table 2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0">
    <w:name w:val="List Table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2">
    <w:name w:val="List Table 6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3">
    <w:name w:val="List Table 6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List Table 6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5">
    <w:name w:val="List Table 6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List Table 6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7">
    <w:name w:val="List Table 6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8">
    <w:name w:val="List Table 7 Colorful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9">
    <w:name w:val="List Table 7 Colorful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0">
    <w:name w:val="List Table 7 Colorful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1">
    <w:name w:val="List Table 7 Colorful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2">
    <w:name w:val="List Table 7 Colorful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3">
    <w:name w:val="List Table 7 Colorful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4">
    <w:name w:val="List Table 7 Colorful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5">
    <w:name w:val="Lined - Accent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6">
    <w:name w:val="Lined - Accent 1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7">
    <w:name w:val="Lined - Accent 2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8">
    <w:name w:val="Lined - Accent 3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9">
    <w:name w:val="Lined - Accent 4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0">
    <w:name w:val="Lined - Accent 5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1">
    <w:name w:val="Lined - Accent 6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2">
    <w:name w:val="Bordered &amp; Lined - Accent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Bordered &amp; Lined - Accent 1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Bordered &amp; Lined - Accent 2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Bordered &amp; Lined - Accent 3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Bordered &amp; Lined - Accent 4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Bordered &amp; Lined - Accent 5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Bordered &amp; Lined - Accent 6"/>
    <w:basedOn w:val="8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0">
    <w:name w:val="Bordered - Accent 1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1">
    <w:name w:val="Bordered - Accent 2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2">
    <w:name w:val="Bordered - Accent 3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3">
    <w:name w:val="Bordered - Accent 4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4">
    <w:name w:val="Bordered - Accent 5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5">
    <w:name w:val="Bordered - Accent 6"/>
    <w:basedOn w:val="8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06">
    <w:name w:val="Hyperlink"/>
    <w:uiPriority w:val="99"/>
    <w:unhideWhenUsed/>
    <w:rPr>
      <w:color w:val="0000FF" w:themeColor="hyperlink"/>
      <w:u w:val="single"/>
    </w:rPr>
  </w:style>
  <w:style w:type="paragraph" w:styleId="807">
    <w:name w:val="footnote text"/>
    <w:basedOn w:val="824"/>
    <w:link w:val="808"/>
    <w:uiPriority w:val="99"/>
    <w:semiHidden/>
    <w:unhideWhenUsed/>
    <w:pPr>
      <w:spacing w:after="40" w:line="240" w:lineRule="auto"/>
    </w:pPr>
    <w:rPr>
      <w:sz w:val="18"/>
    </w:rPr>
  </w:style>
  <w:style w:type="character" w:styleId="808">
    <w:name w:val="Footnote Text Char"/>
    <w:link w:val="807"/>
    <w:uiPriority w:val="99"/>
    <w:rPr>
      <w:sz w:val="18"/>
    </w:rPr>
  </w:style>
  <w:style w:type="character" w:styleId="809">
    <w:name w:val="footnote reference"/>
    <w:uiPriority w:val="99"/>
    <w:unhideWhenUsed/>
    <w:rPr>
      <w:vertAlign w:val="superscript"/>
    </w:rPr>
  </w:style>
  <w:style w:type="paragraph" w:styleId="810">
    <w:name w:val="endnote text"/>
    <w:basedOn w:val="824"/>
    <w:link w:val="811"/>
    <w:uiPriority w:val="99"/>
    <w:semiHidden/>
    <w:unhideWhenUsed/>
    <w:pPr>
      <w:spacing w:after="0" w:line="240" w:lineRule="auto"/>
    </w:pPr>
    <w:rPr>
      <w:sz w:val="20"/>
    </w:rPr>
  </w:style>
  <w:style w:type="character" w:styleId="811">
    <w:name w:val="Endnote Text Char"/>
    <w:link w:val="810"/>
    <w:uiPriority w:val="99"/>
    <w:rPr>
      <w:sz w:val="20"/>
    </w:rPr>
  </w:style>
  <w:style w:type="character" w:styleId="812">
    <w:name w:val="endnote reference"/>
    <w:uiPriority w:val="99"/>
    <w:semiHidden/>
    <w:unhideWhenUsed/>
    <w:rPr>
      <w:vertAlign w:val="superscript"/>
    </w:rPr>
  </w:style>
  <w:style w:type="paragraph" w:styleId="813">
    <w:name w:val="toc 1"/>
    <w:basedOn w:val="824"/>
    <w:next w:val="824"/>
    <w:uiPriority w:val="39"/>
    <w:unhideWhenUsed/>
    <w:pPr>
      <w:ind w:left="0" w:right="0" w:firstLine="0"/>
      <w:spacing w:after="57"/>
    </w:pPr>
  </w:style>
  <w:style w:type="paragraph" w:styleId="814">
    <w:name w:val="toc 2"/>
    <w:basedOn w:val="824"/>
    <w:next w:val="824"/>
    <w:uiPriority w:val="39"/>
    <w:unhideWhenUsed/>
    <w:pPr>
      <w:ind w:left="283" w:right="0" w:firstLine="0"/>
      <w:spacing w:after="57"/>
    </w:pPr>
  </w:style>
  <w:style w:type="paragraph" w:styleId="815">
    <w:name w:val="toc 3"/>
    <w:basedOn w:val="824"/>
    <w:next w:val="824"/>
    <w:uiPriority w:val="39"/>
    <w:unhideWhenUsed/>
    <w:pPr>
      <w:ind w:left="567" w:right="0" w:firstLine="0"/>
      <w:spacing w:after="57"/>
    </w:pPr>
  </w:style>
  <w:style w:type="paragraph" w:styleId="816">
    <w:name w:val="toc 4"/>
    <w:basedOn w:val="824"/>
    <w:next w:val="824"/>
    <w:uiPriority w:val="39"/>
    <w:unhideWhenUsed/>
    <w:pPr>
      <w:ind w:left="850" w:right="0" w:firstLine="0"/>
      <w:spacing w:after="57"/>
    </w:pPr>
  </w:style>
  <w:style w:type="paragraph" w:styleId="817">
    <w:name w:val="toc 5"/>
    <w:basedOn w:val="824"/>
    <w:next w:val="824"/>
    <w:uiPriority w:val="39"/>
    <w:unhideWhenUsed/>
    <w:pPr>
      <w:ind w:left="1134" w:right="0" w:firstLine="0"/>
      <w:spacing w:after="57"/>
    </w:pPr>
  </w:style>
  <w:style w:type="paragraph" w:styleId="818">
    <w:name w:val="toc 6"/>
    <w:basedOn w:val="824"/>
    <w:next w:val="824"/>
    <w:uiPriority w:val="39"/>
    <w:unhideWhenUsed/>
    <w:pPr>
      <w:ind w:left="1417" w:right="0" w:firstLine="0"/>
      <w:spacing w:after="57"/>
    </w:pPr>
  </w:style>
  <w:style w:type="paragraph" w:styleId="819">
    <w:name w:val="toc 7"/>
    <w:basedOn w:val="824"/>
    <w:next w:val="824"/>
    <w:uiPriority w:val="39"/>
    <w:unhideWhenUsed/>
    <w:pPr>
      <w:ind w:left="1701" w:right="0" w:firstLine="0"/>
      <w:spacing w:after="57"/>
    </w:pPr>
  </w:style>
  <w:style w:type="paragraph" w:styleId="820">
    <w:name w:val="toc 8"/>
    <w:basedOn w:val="824"/>
    <w:next w:val="824"/>
    <w:uiPriority w:val="39"/>
    <w:unhideWhenUsed/>
    <w:pPr>
      <w:ind w:left="1984" w:right="0" w:firstLine="0"/>
      <w:spacing w:after="57"/>
    </w:pPr>
  </w:style>
  <w:style w:type="paragraph" w:styleId="821">
    <w:name w:val="toc 9"/>
    <w:basedOn w:val="824"/>
    <w:next w:val="824"/>
    <w:uiPriority w:val="39"/>
    <w:unhideWhenUsed/>
    <w:pPr>
      <w:ind w:left="2268" w:right="0" w:firstLine="0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824"/>
    <w:next w:val="824"/>
    <w:uiPriority w:val="99"/>
    <w:unhideWhenUsed/>
    <w:pPr>
      <w:spacing w:after="0" w:afterAutospacing="0"/>
    </w:pPr>
  </w:style>
  <w:style w:type="paragraph" w:styleId="824" w:default="1">
    <w:name w:val="Normal"/>
    <w:qFormat/>
    <w:rPr>
      <w:rFonts w:ascii="Times New Roman" w:hAnsi="Times New Roman" w:cs="Times New Roman" w:eastAsia="Times New Roman"/>
      <w:color w:val="000000" w:themeColor="text1"/>
      <w:sz w:val="28"/>
    </w:rPr>
  </w:style>
  <w:style w:type="table" w:styleId="82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6" w:default="1">
    <w:name w:val="No List"/>
    <w:uiPriority w:val="99"/>
    <w:semiHidden/>
    <w:unhideWhenUsed/>
  </w:style>
  <w:style w:type="paragraph" w:styleId="827">
    <w:name w:val="No Spacing"/>
    <w:basedOn w:val="824"/>
    <w:uiPriority w:val="1"/>
    <w:qFormat/>
    <w:pPr>
      <w:spacing w:after="0" w:line="240" w:lineRule="auto"/>
    </w:pPr>
  </w:style>
  <w:style w:type="paragraph" w:styleId="828">
    <w:name w:val="List Paragraph"/>
    <w:basedOn w:val="824"/>
    <w:uiPriority w:val="34"/>
    <w:qFormat/>
    <w:pPr>
      <w:contextualSpacing/>
      <w:ind w:left="720"/>
    </w:pPr>
  </w:style>
  <w:style w:type="character" w:styleId="82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docs.cntd.ru/document/1200003503#7D20K3" TargetMode="External"/><Relationship Id="rId10" Type="http://schemas.openxmlformats.org/officeDocument/2006/relationships/hyperlink" Target="https://docs.cntd.ru/document/1200001987#7D20K3" TargetMode="Externa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2022-10-15T20:09:33Z</dcterms:modified>
</cp:coreProperties>
</file>