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4"/>
      </w:pPr>
      <w:r>
        <w:rPr>
          <w:highlight w:val="none"/>
        </w:rPr>
        <w:t xml:space="preserve">Опыт зарубежного корпоративного обучения:</w:t>
      </w:r>
      <w:r>
        <w:rPr>
          <w:highlight w:val="none"/>
        </w:rPr>
      </w:r>
    </w:p>
    <w:p>
      <w:pPr>
        <w:ind w:left="0" w:right="0" w:firstLine="0"/>
        <w:jc w:val="both"/>
        <w:spacing w:before="240" w:after="225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основе системы управления развитием персонала преимущества японских компаний лежит принцип "человеческого потенциала". Данный принцип предполагает выдвижение на первый план не просто декларации, а реальной возможности сотрудника проявить и развить свои с</w:t>
      </w:r>
      <w:r>
        <w:t xml:space="preserve">пособности, получая от своей работы удовлетворение, удовольствие. Кроме того, высокий уровень человеческого потенциала может значительно улучшить социальную защищенность работника, уверенность специалиста в том, что его умения, знания и навыки и опыт работ</w:t>
      </w:r>
      <w:r>
        <w:t xml:space="preserve">ы обеспечат его востребованность на рынке труда. Для более четкого восприятия и ясного понимания этого принципа его можно назвать принципом развития.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С применением в системе управления компанией принципа развития достаточно легко реализуются такие функции профессиональной подготовки и обучения персонала компании, как приведение в соответствие профессионально-квалификационного состава сотрудников с целям</w:t>
      </w:r>
      <w:r>
        <w:t xml:space="preserve">и и задачами компании, быстрая и легкая адаптация новых сотрудников в компании, непрерывное развитие сотрудников и их должностной рост и другие. Принцип развития непременно должен включать в себя следующие компоненты: полное включение работника во все цели</w:t>
      </w:r>
      <w:r>
        <w:t xml:space="preserve"> компании; понимание работником всех трудностей своей работы; предоставление работнику возможности уделять больше внимания самоуправлению и самоконтролю; наличие у работника всей полнотой необходимой для работы информации; приобретение работником в глазах </w:t>
      </w:r>
      <w:r>
        <w:t xml:space="preserve">коллектива и в своих собственных определенной значимости для компании, осознание при этом своей причастности к общему делу и меры своей ответственности.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Основной задачей японской системы профессиональной подготовки и обучения персонала является превращение "знания отдельного работника в знание всей организации". Именно поэтому иногда отмечают, что один японский труженик в два раза слабее американского, но </w:t>
      </w:r>
      <w:r>
        <w:t xml:space="preserve">команда из десяти японцев в два раза сильнее десяти американцев.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Хорошей иллюстрацией практического осуществления этой задачи служат широко известные во всем мире японские "кружки качества". По поводу " кружков качества" существует много мнений. Практически все оценки сводятся к тому, что подобная система очень эффектив</w:t>
      </w:r>
      <w:r>
        <w:t xml:space="preserve">на, и ее использование имеет практическую значимость для развития и совершенствования как отдельного работника, так и организации в целом.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"кружках качества", в первую очередь формируется многопрофильность именно оперативного персонала, непосредственно занятого в процессе производства. Основные цели создания "кружков качества" на производстве следующие: передача производственного опыта одни</w:t>
      </w:r>
      <w:r>
        <w:t xml:space="preserve">ми сотрудниками предприятия другим; развитие способностей к управлению и контролю у рабочих и мастеров путем самосовершенствования; повышение морального духа персонала компании; улучшение морально-психологического климата на рабочих местах; развитие у рабо</w:t>
      </w:r>
      <w:r>
        <w:t xml:space="preserve">тников потребности в качественной работе и рационализаторстве.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Своеобразна и необычна организация повышения квалификации персонала в некоторых промышленных и торговых фирмах Японии. Например, в некоторых компаниях существует такая традиция: в первый день обучения всем учащимся на куртки прикрепляются 15-20 "лент позор</w:t>
      </w:r>
      <w:r>
        <w:t xml:space="preserve">а" - по числу изучаемых дисциплин. После сдачи очередного экзамена снимается одна из "лент позора". Данная процедура достаточно сильно мотивирует сотрудников на достижение высоких результатов в обучении. Кроме того, ежедневно каждый учащийся пишет отчет о </w:t>
      </w:r>
      <w:r>
        <w:t xml:space="preserve">ходе учебы и отправляет его в свою фирму. По большому счету это необходимо в первую очередь самим учащимся. Таким образом, они систематизируют полученные знания, оценивают уровень владения приобретенными умениями и навыками, что в будущей профессиональной </w:t>
      </w:r>
      <w:r>
        <w:t xml:space="preserve">деятельности приведет к умелому и эффективному использованию этих знаний, умений и навыков.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Существует еще одна особенность процесса обучения персонала японских компаний: изучаются и запоминаются несколько десятков опасных для фирмы ситуаций и перечень экстренных мероприятий по выводу фирмы из кризисной ситуации. В результате обучения формируются</w:t>
      </w:r>
      <w:r>
        <w:t xml:space="preserve"> разносторонние высококвалифицированные специалисты, способные вывести свою компанию из кризисного положения.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японских компаниях очень широко применяется система ротации. Ротация представляет собой плавное перемещение работника на различные участки работы фирмы. Ротация для кандидата на руководящую должность обязательна и проводится около одного раза в пять лет.</w:t>
      </w:r>
      <w:r>
        <w:t xml:space="preserve"> Среднее время пребывания сотрудника на одном посту зависит от специфики его работы. Так, сотрудники отдела планирования, в среднем, находятся в должности 5,1 лет, отдела сбыта - 4,9 лет, производственного отдела - 5,5 лет, НИОКР - 6,2 года. Ротация и прод</w:t>
      </w:r>
      <w:r>
        <w:t xml:space="preserve">вижение работника часто происходят одновременно.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</w:rPr>
        <w:t xml:space="preserve">Опыт управления профессиональной квалификацией персонала американских фирм.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На профессиональную подготовку, обучение и переобучение своих сотрудников, американские фирмы тратят немалые финансовые, материальные, временные, человеческие ресурсы. Это обусловлено тем, что необходимая квалификация работников непосредственно сказывается</w:t>
      </w:r>
      <w:r>
        <w:t xml:space="preserve"> на прибыли. Залог успеха деятельности всей фирмы во многом определяется ростом уровня знаний, индивидуального и группового интеллектуального потенциала. Именно поэтому американские фирмы выделяют большие средства на профессиональную подготовку и обучение </w:t>
      </w:r>
      <w:r>
        <w:t xml:space="preserve">своих сотрудников. Так, например, IBM потратила на обучение персонала в 2009 г. один миллиард долларов, а Ford - 500 млн. долл. Наблюдается тенденция устойчивого роста инвестиций в человека, что свидетельствует о понимании и принятии человека и его професс</w:t>
      </w:r>
      <w:r>
        <w:t xml:space="preserve">иональной деятельности в компании как одного из основных определяющих компонентов в достижении успешности деятельности компании, ключевых факторов повышения ее конкурентоспособности.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Именно поэтому многие крупные американские компании организовывают свои корпоративные университеты для проведения профессиональной подготовки и организации непрерывного обучения сотрудников. Так, например, крупнейший корпоративный университет Global Learni</w:t>
      </w:r>
      <w:r>
        <w:t xml:space="preserve">ng создан в компании IBM. Он насчитывает 3 400 преподавателей из 55 стран мира, которые проводят около 10 000 специализированных курсов. И уже более 126 000 сотрудников компании прошли профессиональную подготовку, переподготовку и обучение в этом университ</w:t>
      </w:r>
      <w:r>
        <w:t xml:space="preserve">ете. А что касается Учебного центра корпорации "Дженерал Электрик", то 30-40 тыс. человеко-дней в год отводится на учебные курсы для профессиональной подготовки и обучения сотрудников. Очень важно отметить, что речь идет лишь о внутренних курсах, не считая</w:t>
      </w:r>
      <w:r>
        <w:t xml:space="preserve"> различных внешних обучающих мероприятий (семинаров, конференций).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основе организации профессиональной подготовки и обучения многих американских компаний лежат три главных принципа:</w:t>
      </w:r>
      <w:r/>
    </w:p>
    <w:p>
      <w:pPr>
        <w:pStyle w:val="814"/>
        <w:numPr>
          <w:ilvl w:val="0"/>
          <w:numId w:val="1"/>
        </w:numPr>
        <w:ind w:right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непрерывность профессиональной подготовки и обучения персонала, обусловленная ускоряющимися темпами развития, модернизации техники и технологии;</w:t>
      </w:r>
      <w:r/>
    </w:p>
    <w:p>
      <w:pPr>
        <w:pStyle w:val="814"/>
        <w:numPr>
          <w:ilvl w:val="0"/>
          <w:numId w:val="1"/>
        </w:numPr>
        <w:ind w:right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практическая направленность профессиональной подготовки и обучения персонала;</w:t>
      </w:r>
      <w:r/>
    </w:p>
    <w:p>
      <w:pPr>
        <w:pStyle w:val="814"/>
        <w:numPr>
          <w:ilvl w:val="0"/>
          <w:numId w:val="1"/>
        </w:numPr>
        <w:ind w:right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использование преимущественно активных методов обучения персонала.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Так, например, менеджеры компании "Хьюлетт - Паккард" всегда старались соблюдать одно из важнейших требований - "назначать на каждый пост наиболее способных сотрудников". В компании постоянно обновляется программа профессиональной подготовки и обучения пер</w:t>
      </w:r>
      <w:r>
        <w:t xml:space="preserve">сонала. Это весьма необходимо и эффективно, так как в сфере технического проектирования и производства, в которой работает компания, моральное устаревание продукции очень быстротечно.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Американские фирмы изучили и стали широко применять положительный опыт японских компаний в организации и использовании кружков качества. Образовательные программы занимают около 30-40% времени работы кружков. Техника, технология, экономика и организация пр</w:t>
      </w:r>
      <w:r>
        <w:t xml:space="preserve">оизводства, принципы и методы контроля качества, принципы и практика группового поиска решения возникающих проблем считаются главными направлениями обучения персонала в "американских" кружках качества.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США профессиональной подготовке и обучению персонала уделяется большое внимание, как правило, в крупных компаниях, в то время, как в Европе преимущественно малые компании чаще всего и интенсивнее обучают своих сотрудников.</w:t>
      </w:r>
      <w:r/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Управление профессиональной компетентностью персонала компании Европы.</w:t>
      </w:r>
      <w:r/>
    </w:p>
    <w:p>
      <w:pPr>
        <w:ind w:left="0" w:right="0" w:firstLine="0"/>
        <w:jc w:val="both"/>
        <w:spacing w:before="240" w:after="225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Что касается европейских компаний, то, как правило, крупные корпорации создают свои учебные центры, институты и университеты, где обучается их персонал. Так, например, концерн Envia М (Германия), компания "Люфтганза" (Германия) имеют целый ряд учебных цент</w:t>
      </w:r>
      <w:r>
        <w:t xml:space="preserve">ров. В них наряду с профессиональной подготовкой осуществляется дальнейшее сопровождение процессов развития персонала компании. Преимущественно, это осуществляется через курсы повышения квалификации, консультации для руководителей и специалистов, разного р</w:t>
      </w:r>
      <w:r>
        <w:t xml:space="preserve">ода тренинги. Необходимо отметить, что профессиональная подготовка и обучение персонала осуществляется в рамках дуальной системы, которая предполагает гармоничное сочетание циклов теоретического и практического обучения. Теоретическую программу учащиеся ос</w:t>
      </w:r>
      <w:r>
        <w:t xml:space="preserve">ваивают в стенах учебных центров, а практическую - непосредственно на предприятии.</w:t>
      </w:r>
      <w:r/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Профессиональная подготовка и обучение персонала в европейских компаниях носит преимущественно системный, непрерывный характер. Это подтверждается тем, что в компании постоянно происходит мониторинг потребностей в профессиональной подготовке и планирование</w:t>
      </w:r>
      <w:r>
        <w:t xml:space="preserve"> дальнейшего использования обученного персонала.</w:t>
      </w:r>
      <w:r/>
    </w:p>
    <w:p>
      <w:pPr>
        <w:pStyle w:val="634"/>
        <w:rPr>
          <w:highlight w:val="none"/>
        </w:rPr>
      </w:pPr>
      <w:r>
        <w:t xml:space="preserve">Варианты использования опыта корпоративного обучения за рубежом для решения образовательных задач в рамках магистерской диссертации:</w:t>
      </w:r>
      <w:r/>
    </w:p>
    <w:p>
      <w:pPr>
        <w:pStyle w:val="814"/>
        <w:numPr>
          <w:ilvl w:val="0"/>
          <w:numId w:val="2"/>
        </w:numPr>
        <w:jc w:val="both"/>
      </w:pPr>
      <w:r>
        <w:t xml:space="preserve">превращение “знания одного работника в знание всей корпорации”;</w:t>
      </w:r>
      <w:r>
        <w:rPr>
          <w:highlight w:val="none"/>
        </w:rPr>
      </w:r>
      <w:r>
        <w:rPr>
          <w:highlight w:val="none"/>
        </w:rPr>
      </w:r>
    </w:p>
    <w:p>
      <w:pPr>
        <w:pStyle w:val="814"/>
        <w:numPr>
          <w:ilvl w:val="0"/>
          <w:numId w:val="2"/>
        </w:numPr>
        <w:jc w:val="both"/>
      </w:pPr>
      <w:r>
        <w:rPr>
          <w:highlight w:val="none"/>
        </w:rPr>
        <w:t xml:space="preserve">составление обучающимися отчётов в процессе обучения;</w:t>
      </w:r>
      <w:r>
        <w:rPr>
          <w:highlight w:val="none"/>
        </w:rPr>
      </w:r>
    </w:p>
    <w:p>
      <w:pPr>
        <w:pStyle w:val="814"/>
        <w:numPr>
          <w:ilvl w:val="0"/>
          <w:numId w:val="2"/>
        </w:numPr>
        <w:jc w:val="both"/>
      </w:pPr>
      <w:r>
        <w:rPr>
          <w:highlight w:val="none"/>
        </w:rPr>
        <w:t xml:space="preserve">обучение </w:t>
      </w:r>
      <w:r>
        <w:t xml:space="preserve">в рамках дуальной системы, которая предполагает гармоничное сочетание циклов теоретического и практического обучения.</w: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ind w:left="0" w:right="0" w:firstLine="0"/>
      <w:jc w:val="both"/>
      <w:spacing w:before="240" w:after="225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b/>
    </w:rPr>
  </w:style>
  <w:style w:type="character" w:styleId="635">
    <w:name w:val="Heading 1 Char"/>
    <w:link w:val="634"/>
    <w:uiPriority w:val="9"/>
    <w:rPr>
      <w:b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  <w:pPr>
      <w:ind w:left="0" w:right="0" w:firstLine="0"/>
      <w:spacing w:before="240" w:after="225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Times New Roman" w:hAnsi="Times New Roman" w:cs="Times New Roman" w:eastAsia="Times New Roman"/>
      <w:color w:val="000000" w:themeColor="text1"/>
      <w:sz w:val="28"/>
    </w:rPr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2022-11-04T11:20:23Z</dcterms:modified>
</cp:coreProperties>
</file>