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2"/>
        <w:numPr>
          <w:ilvl w:val="0"/>
          <w:numId w:val="2"/>
        </w:num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  <w:t xml:space="preserve">Федеральный закон от 29.12.2012 N 273-ФЗ (ред. от 16.04.2022) "Об образовании в Российской Федерации"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left="720" w:firstLine="0"/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Федеральный закон от 27.07.2006г. № 149-ФЗ «Об информации, информационных технологиях и о защите информации».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</w:p>
    <w:p>
      <w:pPr>
        <w:ind w:left="720" w:firstLine="0"/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Федеральный закон от 27.07.2006г. № 152-ФЗ «О персональных данных».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</w:p>
    <w:p>
      <w:pPr>
        <w:ind w:left="720" w:firstLine="0"/>
        <w:rPr>
          <w:b/>
        </w:rPr>
      </w:pPr>
      <w:r>
        <w:rPr>
          <w:rFonts w:ascii="Times New Roman" w:hAnsi="Times New Roman" w:cs="Times New Roman" w:eastAsia="Times New Roman"/>
          <w:b/>
          <w:sz w:val="28"/>
          <w:highlight w:val="none"/>
        </w:rPr>
        <w:t xml:space="preserve">Перечень федеральных законов, определяющий правила использования информационных технологий в образовании.</w:t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</w:p>
    <w:p>
      <w:pPr>
        <w:pStyle w:val="602"/>
        <w:numPr>
          <w:ilvl w:val="0"/>
          <w:numId w:val="2"/>
        </w:numPr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ГОСТ 7.0.83-2013 Система стандартов по информации, библиотечному и издательскому делу. Электронные издания. Основные виды и выходные сведения;</w:t>
      </w:r>
      <w:r/>
    </w:p>
    <w:p>
      <w:pPr>
        <w:ind w:left="720" w:firstLine="0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ГОСТ Р 7.0.5–2008 Система стандартов по информации, библиотечному и издательскому делу. Библиографическая ссылка. 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Общие требования и правила составления;</w:t>
      </w:r>
      <w:r/>
    </w:p>
    <w:p>
      <w:pPr>
        <w:ind w:left="720" w:firstLine="0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ГОСТ Р 52652–2006 Информационно–коммуникационные технологии в образовании. Общие положения;</w:t>
      </w:r>
      <w:r/>
    </w:p>
    <w:p>
      <w:pPr>
        <w:ind w:left="720" w:firstLine="0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ГОСТ Р 52653–2006 Информационно–коммуникационные технологии в образовании. Термины и определения;</w:t>
      </w:r>
      <w:r/>
    </w:p>
    <w:p>
      <w:pPr>
        <w:ind w:left="720" w:firstLine="0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ГОСТ Р 52655-2006 Информаци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онно-коммуникационные технологии в образовании. Интегрированная автоматизированная система управления учреждением высшего профессионального образования. Общие требования.</w:t>
      </w:r>
      <w:r/>
    </w:p>
    <w:p>
      <w:pPr>
        <w:ind w:left="720" w:firstLine="0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ГОСТ Р 52656-2006. Образовательные интернет-порталы федерального уровня. Общие требова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ния</w:t>
      </w:r>
      <w:r/>
    </w:p>
    <w:p>
      <w:pPr>
        <w:ind w:left="720" w:firstLine="0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ГОСТ Р 52657-2006. Информационно-коммуникационные технологии в образовании. Образовательные интернет-порталы федерального уровня. Рубрикация информационных ресурсов</w:t>
      </w:r>
      <w:r/>
    </w:p>
    <w:p>
      <w:pPr>
        <w:ind w:left="720" w:firstLine="0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ГОСТ Р 53620-2009 Информационно-коммуникационные технологии в образовании. Электронные о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бразовательные ресурсы. Общие положения;</w:t>
      </w:r>
      <w:r/>
    </w:p>
    <w:p>
      <w:pPr>
        <w:ind w:left="720" w:firstLine="0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ГОСТ Р 55751-2013 Информационно-коммуникационные технологии в образовании. Электронные учебно-методические комплексы;</w:t>
      </w:r>
      <w:r/>
    </w:p>
    <w:p>
      <w:pPr>
        <w:ind w:left="720" w:firstLine="0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ГОСТ Р 55750-2013 Информационно-коммуникационные технологии в образовании. Метаданные электронных 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образовательных ресурсов. Общие положения.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</w:p>
    <w:p>
      <w:pPr>
        <w:ind w:left="720" w:firstLine="0"/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  <w:highlight w:val="none"/>
        </w:rPr>
        <w:t xml:space="preserve">Перечень документов, определяющий стандарты использования информационных технологий в образовании.</w:t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</w:p>
    <w:p>
      <w:pPr>
        <w:pStyle w:val="602"/>
        <w:numPr>
          <w:ilvl w:val="0"/>
          <w:numId w:val="3"/>
        </w:numPr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Применение дистанционных образовательных технологий: первые шаги // Материалы сетевого семинара «Особенности применения дистанционных образовательных технологий». – Составитель О.Б. Модулина. – Рыбинск: МОУ ДПО «Информационно-образовательный Центр», 2015. – 3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3 с.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</w:p>
    <w:p>
      <w:pPr>
        <w:ind w:left="721" w:firstLine="0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В сборнике представлены материалы участников сетевого семинара «Особенности применения дистанционных образовательных технологий», проводимого в декабре 2014 года для слушателей дополнительной профессиональной программы «Методика дистанционной поддержки учащ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ихся». Цель публикации материалов семинара – представить опыт инновационной деятельности педагогов, активно внедряющих дистанционных образовательные технологии в педагогическую практику.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</w:p>
    <w:p>
      <w:pPr>
        <w:pStyle w:val="602"/>
        <w:numPr>
          <w:ilvl w:val="0"/>
          <w:numId w:val="3"/>
        </w:numPr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Сергеев, С.Ф. 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Методологические и дидактические проблемы электронного обучения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 // Интернет и современное общество, Сб. науч. ст / Университет ИТМО. – СПб, 2015. URL: openbooks.itmo.ru/ru/file/2241/2241.pdf (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дата обращения: 01.05.2022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).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</w:p>
    <w:p>
      <w:pPr>
        <w:ind w:left="721" w:firstLine="0"/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highlight w:val="none"/>
        </w:rPr>
        <w:t xml:space="preserve">Статья посвящена обсуждению методологических проблем электронного обучения, дидактическим вопросам использования перспективных сетевых и интернет-технологий для создания обучающих систем и тренажеров, основанных на методологических принципах</w:t>
      </w:r>
      <w:r>
        <w:rPr>
          <w:rFonts w:ascii="Times New Roman" w:hAnsi="Times New Roman" w:cs="Times New Roman" w:eastAsia="Times New Roman"/>
          <w:b/>
          <w:sz w:val="28"/>
          <w:highlight w:val="none"/>
        </w:rPr>
        <w:t xml:space="preserve"> психологии и педагогики. </w:t>
      </w:r>
      <w:r>
        <w:rPr>
          <w:b/>
        </w:rPr>
      </w:r>
    </w:p>
    <w:p>
      <w:pPr>
        <w:pStyle w:val="602"/>
        <w:numPr>
          <w:ilvl w:val="0"/>
          <w:numId w:val="5"/>
        </w:numPr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  <w:hyperlink r:id="rId9" w:tooltip="https://urok.1sept.ru/articles/604269" w:history="1">
        <w:r>
          <w:rPr>
            <w:rStyle w:val="172"/>
            <w:rFonts w:ascii="Times New Roman" w:hAnsi="Times New Roman" w:cs="Times New Roman" w:eastAsia="Times New Roman"/>
            <w:sz w:val="28"/>
            <w:highlight w:val="none"/>
          </w:rPr>
          <w:t xml:space="preserve">https://urok.1sept.ru/articles/604269</w:t>
        </w:r>
        <w:r>
          <w:rPr>
            <w:rStyle w:val="172"/>
            <w:rFonts w:ascii="Times New Roman" w:hAnsi="Times New Roman" w:cs="Times New Roman" w:eastAsia="Times New Roman"/>
            <w:sz w:val="28"/>
            <w:highlight w:val="none"/>
          </w:rPr>
        </w:r>
        <w:r>
          <w:rPr>
            <w:rStyle w:val="172"/>
            <w:rFonts w:ascii="Times New Roman" w:hAnsi="Times New Roman" w:cs="Times New Roman" w:eastAsia="Times New Roman"/>
            <w:sz w:val="28"/>
            <w:highlight w:val="none"/>
          </w:rPr>
        </w:r>
      </w:hyperlink>
      <w:r>
        <w:rPr>
          <w:rFonts w:ascii="Times New Roman" w:hAnsi="Times New Roman" w:cs="Times New Roman" w:eastAsia="Times New Roman"/>
          <w:sz w:val="28"/>
          <w:highlight w:val="none"/>
        </w:rPr>
      </w:r>
    </w:p>
    <w:p>
      <w:pPr>
        <w:ind w:left="721" w:firstLine="0"/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  <w:highlight w:val="none"/>
        </w:rPr>
        <w:t xml:space="preserve">Статья, </w:t>
      </w:r>
      <w:r>
        <w:rPr>
          <w:rFonts w:ascii="Times New Roman" w:hAnsi="Times New Roman" w:cs="Times New Roman" w:eastAsia="Times New Roman"/>
          <w:b/>
          <w:sz w:val="28"/>
          <w:highlight w:val="none"/>
        </w:rPr>
        <w:t xml:space="preserve">представленная в интернет-ресурсе, </w:t>
      </w:r>
      <w:r/>
      <w:r>
        <w:rPr>
          <w:rFonts w:ascii="Times New Roman" w:hAnsi="Times New Roman" w:cs="Times New Roman" w:eastAsia="Times New Roman"/>
          <w:b/>
          <w:sz w:val="28"/>
          <w:highlight w:val="none"/>
        </w:rPr>
        <w:t xml:space="preserve">посвящена описанию психологических аспектов дистанционного обучения и описание групп, на которые нацелено внедрение технологий дистанционного обучения.</w:t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</w:p>
    <w:p>
      <w:pPr>
        <w:pStyle w:val="602"/>
        <w:numPr>
          <w:ilvl w:val="0"/>
          <w:numId w:val="6"/>
        </w:numPr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  <w:hyperlink r:id="rId10" w:tooltip="https://www.prodlenka.org/metodicheskie-razrabotki/435215-psihologicheskie-aspekty-organizacii-obucheni" w:history="1">
        <w:r>
          <w:rPr>
            <w:rStyle w:val="172"/>
            <w:rFonts w:ascii="Times New Roman" w:hAnsi="Times New Roman" w:cs="Times New Roman" w:eastAsia="Times New Roman"/>
            <w:sz w:val="28"/>
            <w:highlight w:val="none"/>
          </w:rPr>
          <w:t xml:space="preserve">https://www.prodlenka.org/metodicheskie-razrabotki/435215-psihologicheskie-aspekty-organizacii-obucheni</w:t>
        </w:r>
        <w:r>
          <w:rPr>
            <w:rStyle w:val="172"/>
            <w:rFonts w:ascii="Times New Roman" w:hAnsi="Times New Roman" w:cs="Times New Roman" w:eastAsia="Times New Roman"/>
            <w:sz w:val="28"/>
            <w:highlight w:val="none"/>
          </w:rPr>
        </w:r>
        <w:r>
          <w:rPr>
            <w:rStyle w:val="172"/>
            <w:rFonts w:ascii="Times New Roman" w:hAnsi="Times New Roman" w:cs="Times New Roman" w:eastAsia="Times New Roman"/>
            <w:sz w:val="28"/>
            <w:highlight w:val="none"/>
          </w:rPr>
        </w:r>
      </w:hyperlink>
      <w:r>
        <w:rPr>
          <w:rFonts w:ascii="Times New Roman" w:hAnsi="Times New Roman" w:cs="Times New Roman" w:eastAsia="Times New Roman"/>
          <w:sz w:val="28"/>
          <w:highlight w:val="none"/>
        </w:rPr>
      </w:r>
    </w:p>
    <w:p>
      <w:pPr>
        <w:ind w:left="709" w:firstLine="0"/>
        <w:rPr>
          <w:rFonts w:ascii="Times New Roman" w:hAnsi="Times New Roman" w:cs="Times New Roman" w:eastAsia="Times New Roman"/>
          <w:b/>
          <w:sz w:val="28"/>
          <w:highlight w:val="none"/>
        </w:rPr>
      </w:pPr>
      <w:r>
        <w:rPr>
          <w:rFonts w:ascii="Times New Roman" w:hAnsi="Times New Roman" w:cs="Times New Roman" w:eastAsia="Times New Roman"/>
          <w:b/>
          <w:sz w:val="28"/>
          <w:highlight w:val="none"/>
        </w:rPr>
        <w:t xml:space="preserve">Статья, представленная в интернет-ресурсе, описывает преиущества и недостатки дистанционного обучения детей дошкольного возраста.</w:t>
      </w:r>
      <w:r>
        <w:rPr>
          <w:rFonts w:ascii="Times New Roman" w:hAnsi="Times New Roman" w:cs="Times New Roman" w:eastAsia="Times New Roman"/>
          <w:b/>
          <w:sz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30102010509060703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1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1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1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1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1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1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1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1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1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1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1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1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1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1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1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1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1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1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1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1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1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1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1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1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1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1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1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urok.1sept.ru/articles/604269" TargetMode="External"/><Relationship Id="rId10" Type="http://schemas.openxmlformats.org/officeDocument/2006/relationships/hyperlink" Target="https://www.prodlenka.org/metodicheskie-razrabotki/435215-psihologicheskie-aspekty-organizacii-obucheni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2022-05-01T15:15:52Z</dcterms:modified>
</cp:coreProperties>
</file>