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b w:val="1"/>
          <w:bCs w:val="1"/>
          <w:sz w:val="28"/>
          <w:szCs w:val="28"/>
          <w:lang w:val="ru-RU"/>
        </w:rPr>
      </w:pPr>
      <w:r>
        <w:rPr>
          <w:b w:val="1"/>
          <w:bCs w:val="1"/>
          <w:sz w:val="28"/>
          <w:szCs w:val="28"/>
          <w:rtl w:val="0"/>
          <w:lang w:val="ru-RU"/>
        </w:rPr>
        <w:t>Структура РГПУ им</w:t>
      </w:r>
      <w:r>
        <w:rPr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b w:val="1"/>
          <w:bCs w:val="1"/>
          <w:sz w:val="28"/>
          <w:szCs w:val="28"/>
          <w:rtl w:val="0"/>
          <w:lang w:val="ru-RU"/>
        </w:rPr>
        <w:t>А</w:t>
      </w:r>
      <w:r>
        <w:rPr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b w:val="1"/>
          <w:bCs w:val="1"/>
          <w:sz w:val="28"/>
          <w:szCs w:val="28"/>
          <w:rtl w:val="0"/>
          <w:lang w:val="ru-RU"/>
        </w:rPr>
        <w:t>И</w:t>
      </w:r>
      <w:r>
        <w:rPr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b w:val="1"/>
          <w:bCs w:val="1"/>
          <w:sz w:val="28"/>
          <w:szCs w:val="28"/>
          <w:rtl w:val="0"/>
          <w:lang w:val="ru-RU"/>
        </w:rPr>
        <w:t>Герцена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Факультеты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Безопасности жизнедеятельности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Биологии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Географии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Изобразительного искусства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Математики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Русского языка как иностранного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Физики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Филологический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Химии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Юридический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Институты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музыки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театра и хореографии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иностранных языков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истории и социальных наук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востоковедения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экономики и управления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физической культуры и спорта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психологии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педагогики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народов Севера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дефектологического образования и реабилитации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информационных технологий и технологического образования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философии человека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Институт детства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Филиалы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Выборгский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Дагестанский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Волховский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Центры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УМЛ «Музыкально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компьютерные технологии»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Центр тестирования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Центр по работе с талантливой молодежью и абитуриентами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Психологическая служба сопровождения студентов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Центр духовно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нравственного просвещения «Покровский»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Ресурсный учебно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методический центр по обучению инвалидов и лиц с ограниченными возможностями здоровья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Центр содействия трудоустройству выпускников «Мост»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Другие подразделения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Учебно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методическое управление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бухгалтерского учета и финансового контроля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Учебное управление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закупок и продаж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информатизации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по связям с общественностью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дополнительного образования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кадров и социальной работы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ремонта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модернизации и перспективного развития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международного сотрудничества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обеспечения сотрудничества с образовательными организациями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научных исследований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по обеспечению управлением имущественным комплексом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охраны и пожарной безопасности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Планово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финансовое управление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организации диссертационных исследований и аттестации кадров высшей квалификации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развитием воспитательной деятельности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развития педагогического образования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социально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бытового обеспечения и обслуживания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баз практик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Этический комитет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Педагогические вести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Библиотека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Музей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Отдел ученого секретаря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Отдел аспирантуры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 xml:space="preserve">Канцелярия </w:t>
      </w:r>
      <w:r>
        <w:rPr>
          <w:sz w:val="28"/>
          <w:szCs w:val="28"/>
          <w:rtl w:val="0"/>
          <w:lang w:val="ru-RU"/>
        </w:rPr>
        <w:t>(</w:t>
      </w:r>
      <w:r>
        <w:rPr>
          <w:sz w:val="28"/>
          <w:szCs w:val="28"/>
          <w:rtl w:val="0"/>
          <w:lang w:val="ru-RU"/>
        </w:rPr>
        <w:t>Организационно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контрольное управление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Отдел по работе с выпускниками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Русская роговая капелла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 xml:space="preserve">НОТА </w:t>
      </w:r>
      <w:r>
        <w:rPr>
          <w:sz w:val="28"/>
          <w:szCs w:val="28"/>
          <w:rtl w:val="0"/>
          <w:lang w:val="ru-RU"/>
        </w:rPr>
        <w:t>(</w:t>
      </w:r>
      <w:r>
        <w:rPr>
          <w:sz w:val="28"/>
          <w:szCs w:val="28"/>
          <w:rtl w:val="0"/>
          <w:lang w:val="ru-RU"/>
        </w:rPr>
        <w:t>Научно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образовательная теологическая ассоциация</w:t>
      </w:r>
      <w:r>
        <w:rPr>
          <w:sz w:val="28"/>
          <w:szCs w:val="28"/>
          <w:rtl w:val="0"/>
          <w:lang w:val="ru-RU"/>
        </w:rPr>
        <w:t>)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Офис по реализации стратегических проектов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Ассоциация студентов и выпускников РГПУ им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А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И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Герцена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Юридическая служба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Консультационно аналитический отдел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Штаб по делам ГО и ЧС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Учебно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жилой комплекс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Первый отдел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Второй отдел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Медико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оздоровительный центр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Управление главного инженера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Санкт</w:t>
      </w:r>
      <w:r>
        <w:rPr>
          <w:sz w:val="28"/>
          <w:szCs w:val="28"/>
          <w:rtl w:val="0"/>
          <w:lang w:val="ru-RU"/>
        </w:rPr>
        <w:t>-</w:t>
      </w:r>
      <w:r>
        <w:rPr>
          <w:sz w:val="28"/>
          <w:szCs w:val="28"/>
          <w:rtl w:val="0"/>
          <w:lang w:val="ru-RU"/>
        </w:rPr>
        <w:t>Петербургская высшая школа перевода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Гостиница и общежитие гостиничного типа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Студенческие общежития</w:t>
      </w:r>
    </w:p>
    <w:p>
      <w:pPr>
        <w:pStyle w:val="List Paragraph"/>
        <w:numPr>
          <w:ilvl w:val="1"/>
          <w:numId w:val="2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Кафедра ЮНЕСКО</w:t>
      </w:r>
    </w:p>
    <w:p>
      <w:pPr>
        <w:pStyle w:val="Normal.0"/>
        <w:rPr>
          <w:sz w:val="28"/>
          <w:szCs w:val="28"/>
          <w:lang w:val="ru-RU"/>
        </w:rPr>
      </w:pPr>
      <w:r>
        <w:rPr>
          <w:sz w:val="28"/>
          <w:szCs w:val="28"/>
          <w:rtl w:val="0"/>
          <w:lang w:val="ru-RU"/>
        </w:rPr>
        <w:t>Задачи РГПУ им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А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И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Герцена</w:t>
      </w:r>
      <w:r>
        <w:rPr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подготовка высококвалифицированных кадров по образовательным программам высшего образования и среднего профессионального образования в соответствии с потребностями общества и государства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удовлетворение потребностей личности в интеллектуальном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культурном и нравственном развитии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создание условий для подготовки научными и педагогическими работниками диссертаций на соискание ученых степеней доктора наук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кандидата наук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 xml:space="preserve">реализация дополнительных образовательных программ </w:t>
      </w:r>
      <w:r>
        <w:rPr>
          <w:sz w:val="28"/>
          <w:szCs w:val="28"/>
          <w:rtl w:val="0"/>
          <w:lang w:val="ru-RU"/>
        </w:rPr>
        <w:t>(</w:t>
      </w:r>
      <w:r>
        <w:rPr>
          <w:sz w:val="28"/>
          <w:szCs w:val="28"/>
          <w:rtl w:val="0"/>
          <w:lang w:val="ru-RU"/>
        </w:rPr>
        <w:t>дополнительных общеразвивающих программ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дополнительных предпрофессиональных программ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программ повышения квалификации и программ профессиональной переподготовки</w:t>
      </w:r>
      <w:r>
        <w:rPr>
          <w:sz w:val="28"/>
          <w:szCs w:val="28"/>
          <w:rtl w:val="0"/>
          <w:lang w:val="ru-RU"/>
        </w:rPr>
        <w:t>);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распространение знаний среди специалистов и широких групп населения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повышение его образовательного и культурного уровня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удовлетворение потребности общества и государства в высококвалифицированных специалистах юридического профиля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удовлетворение потребностей личности в интеллектуальном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культурном и нравственном развитии посредством образовательной деятельности</w:t>
      </w:r>
      <w:r>
        <w:rPr>
          <w:sz w:val="28"/>
          <w:szCs w:val="28"/>
          <w:rtl w:val="0"/>
          <w:lang w:val="ru-RU"/>
        </w:rPr>
        <w:t>.</w:t>
      </w:r>
    </w:p>
    <w:p>
      <w:pPr>
        <w:pStyle w:val="Normal.0"/>
        <w:rPr>
          <w:sz w:val="28"/>
          <w:szCs w:val="28"/>
          <w:lang w:val="ru-RU"/>
        </w:rPr>
      </w:pPr>
      <w:r>
        <w:rPr>
          <w:sz w:val="28"/>
          <w:szCs w:val="28"/>
          <w:rtl w:val="0"/>
          <w:lang w:val="ru-RU"/>
        </w:rPr>
        <w:t>Перспективы развития РГПУ им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А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И</w:t>
      </w:r>
      <w:r>
        <w:rPr>
          <w:sz w:val="28"/>
          <w:szCs w:val="28"/>
          <w:rtl w:val="0"/>
          <w:lang w:val="ru-RU"/>
        </w:rPr>
        <w:t xml:space="preserve">. </w:t>
      </w:r>
      <w:r>
        <w:rPr>
          <w:sz w:val="28"/>
          <w:szCs w:val="28"/>
          <w:rtl w:val="0"/>
          <w:lang w:val="ru-RU"/>
        </w:rPr>
        <w:t>Герцена</w:t>
      </w:r>
      <w:r>
        <w:rPr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переход к новым формам его организации и управления образовательными программами в соответствии с профессиональными стандартами Минтруда России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 xml:space="preserve">поддержку и продвижение на российском и мировом рынках образования уникальных </w:t>
      </w:r>
      <w:r>
        <w:rPr>
          <w:sz w:val="28"/>
          <w:szCs w:val="28"/>
          <w:rtl w:val="0"/>
          <w:lang w:val="ru-RU"/>
        </w:rPr>
        <w:t>(</w:t>
      </w:r>
      <w:r>
        <w:rPr>
          <w:sz w:val="28"/>
          <w:szCs w:val="28"/>
          <w:rtl w:val="0"/>
          <w:lang w:val="ru-RU"/>
        </w:rPr>
        <w:t>эксклюзивных</w:t>
      </w:r>
      <w:r>
        <w:rPr>
          <w:sz w:val="28"/>
          <w:szCs w:val="28"/>
          <w:rtl w:val="0"/>
          <w:lang w:val="ru-RU"/>
        </w:rPr>
        <w:t xml:space="preserve">) </w:t>
      </w:r>
      <w:r>
        <w:rPr>
          <w:sz w:val="28"/>
          <w:szCs w:val="28"/>
          <w:rtl w:val="0"/>
          <w:lang w:val="ru-RU"/>
        </w:rPr>
        <w:t>направлений подготовки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образовательных программ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определяющих неповторимый облик Герценовского университета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повышение их практикоориентированности при сохранении высокого уровня фундаментальности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диверсификацию образовательных программ с приоритетным развитием программ магистратуры и аспирантуры в контексте становления института профессиональных стандартов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которая обеспечит рост конкурентоспособности выпускников на рынке труда и создание потенциала их профессиональной мобильности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переход на ФГОС</w:t>
      </w:r>
      <w:r>
        <w:rPr>
          <w:sz w:val="28"/>
          <w:szCs w:val="28"/>
          <w:rtl w:val="0"/>
          <w:lang w:val="ru-RU"/>
        </w:rPr>
        <w:t>-3++;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обеспечение интеграции образования и науки на основе реализации многомерной модели «образование через исследование»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развитие системы довузовской подготовки и профориентации талантливой молодежи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повышение статуса Герценовских олимпиад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формирование сети базовых экспериментальных площадок Герценовского университета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обеспечивающее привлечение и отбор мотивированных абитуриентов с высоким творческим потенциалом</w:t>
      </w:r>
      <w:r>
        <w:rPr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переход на новые форматы электронного обучения и дистанционные образовательные технологии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создание электронного образовательного портала университета</w:t>
      </w:r>
      <w:r>
        <w:rPr>
          <w:sz w:val="28"/>
          <w:szCs w:val="28"/>
          <w:rtl w:val="0"/>
          <w:lang w:val="ru-RU"/>
        </w:rPr>
        <w:t xml:space="preserve">, </w:t>
      </w:r>
      <w:r>
        <w:rPr>
          <w:sz w:val="28"/>
          <w:szCs w:val="28"/>
          <w:rtl w:val="0"/>
          <w:lang w:val="ru-RU"/>
        </w:rPr>
        <w:t>позволяющего интегрировать электронные образовательные ресурсы и современные информационные сервисы</w:t>
      </w:r>
      <w:r>
        <w:rPr>
          <w:sz w:val="28"/>
          <w:szCs w:val="28"/>
          <w:rtl w:val="0"/>
          <w:lang w:val="ru-RU"/>
        </w:rPr>
        <w:t>.</w:t>
      </w:r>
    </w:p>
    <w:p>
      <w:pPr>
        <w:pStyle w:val="Normal.0"/>
        <w:ind w:left="360" w:firstLine="0"/>
        <w:rPr>
          <w:sz w:val="28"/>
          <w:szCs w:val="28"/>
          <w:lang w:val="ru-RU"/>
        </w:rPr>
      </w:pPr>
      <w:r>
        <w:rPr>
          <w:sz w:val="28"/>
          <w:szCs w:val="28"/>
          <w:rtl w:val="0"/>
          <w:lang w:val="ru-RU"/>
        </w:rPr>
        <w:t>Взаимодействие с другими организациями</w:t>
      </w:r>
      <w:r>
        <w:rPr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ДВФУ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 xml:space="preserve">КГТУ </w:t>
      </w:r>
      <w:r>
        <w:rPr>
          <w:sz w:val="28"/>
          <w:szCs w:val="28"/>
          <w:rtl w:val="0"/>
          <w:lang w:val="ru-RU"/>
        </w:rPr>
        <w:t xml:space="preserve">- </w:t>
      </w:r>
      <w:r>
        <w:rPr>
          <w:sz w:val="28"/>
          <w:szCs w:val="28"/>
          <w:rtl w:val="0"/>
          <w:lang w:val="ru-RU"/>
        </w:rPr>
        <w:t>участие в конференциях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>Потсдамский университет</w:t>
      </w:r>
    </w:p>
    <w:p>
      <w:pPr>
        <w:pStyle w:val="List Paragraph"/>
        <w:numPr>
          <w:ilvl w:val="0"/>
          <w:numId w:val="8"/>
        </w:numPr>
        <w:bidi w:val="0"/>
        <w:ind w:right="0"/>
        <w:jc w:val="left"/>
        <w:rPr>
          <w:sz w:val="28"/>
          <w:szCs w:val="28"/>
          <w:rtl w:val="0"/>
          <w:lang w:val="ru-RU"/>
        </w:rPr>
      </w:pPr>
      <w:r>
        <w:rPr>
          <w:sz w:val="28"/>
          <w:szCs w:val="28"/>
          <w:rtl w:val="0"/>
          <w:lang w:val="ru-RU"/>
        </w:rPr>
        <w:t xml:space="preserve">Эстонский литературный музей </w:t>
      </w:r>
      <w:r>
        <w:rPr>
          <w:sz w:val="28"/>
          <w:szCs w:val="28"/>
          <w:rtl w:val="0"/>
          <w:lang w:val="ru-RU"/>
        </w:rPr>
        <w:t>(</w:t>
      </w:r>
      <w:r>
        <w:rPr>
          <w:sz w:val="28"/>
          <w:szCs w:val="28"/>
          <w:rtl w:val="0"/>
          <w:lang w:val="ru-RU"/>
        </w:rPr>
        <w:t>г</w:t>
      </w:r>
      <w:r>
        <w:rPr>
          <w:sz w:val="28"/>
          <w:szCs w:val="28"/>
          <w:rtl w:val="0"/>
          <w:lang w:val="ru-RU"/>
        </w:rPr>
        <w:t>.</w:t>
      </w:r>
      <w:r>
        <w:rPr>
          <w:sz w:val="28"/>
          <w:szCs w:val="28"/>
          <w:rtl w:val="0"/>
          <w:lang w:val="ru-RU"/>
        </w:rPr>
        <w:t>Тарту</w:t>
      </w:r>
      <w:r>
        <w:rPr>
          <w:sz w:val="28"/>
          <w:szCs w:val="28"/>
          <w:rtl w:val="0"/>
          <w:lang w:val="ru-RU"/>
        </w:rPr>
        <w:t>)</w:t>
      </w:r>
    </w:p>
    <w:sectPr>
      <w:headerReference w:type="default" r:id="rId4"/>
      <w:footerReference w:type="default" r:id="rId5"/>
      <w:pgSz w:w="12240" w:h="15840" w:orient="portrait"/>
      <w:pgMar w:top="1134" w:right="850" w:bottom="1134" w:left="170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