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3C3B3" w14:textId="77777777" w:rsidR="008B37E8" w:rsidRDefault="00801107" w:rsidP="008B37E8">
      <w:pPr>
        <w:pStyle w:val="1"/>
      </w:pPr>
      <w:r>
        <w:t>2</w:t>
      </w:r>
      <w:r>
        <w:t xml:space="preserve">.1. </w:t>
      </w:r>
      <w:r>
        <w:t>Методы научного исследования</w:t>
      </w:r>
    </w:p>
    <w:p w14:paraId="7D74149D" w14:textId="36387EC3" w:rsidR="00801107" w:rsidRPr="008B37E8" w:rsidRDefault="00801107" w:rsidP="008B37E8">
      <w:pPr>
        <w:pStyle w:val="1"/>
        <w:rPr>
          <w:color w:val="074F6A" w:themeColor="accent4" w:themeShade="80"/>
        </w:rPr>
      </w:pPr>
      <w:r w:rsidRPr="008B37E8">
        <w:rPr>
          <w:rFonts w:eastAsia="Times New Roman" w:cs="Times New Roman"/>
          <w:b/>
          <w:bCs/>
          <w:i/>
          <w:color w:val="074F6A" w:themeColor="accent4" w:themeShade="80"/>
          <w:lang w:eastAsia="ru-RU"/>
        </w:rPr>
        <w:t>Теоретические методы исследования в реферате</w:t>
      </w:r>
    </w:p>
    <w:p w14:paraId="6947D547" w14:textId="77777777" w:rsidR="00801107" w:rsidRDefault="00801107" w:rsidP="00801107">
      <w:pPr>
        <w:spacing w:after="0" w:line="240" w:lineRule="auto"/>
        <w:jc w:val="both"/>
        <w:rPr>
          <w:rFonts w:eastAsia="Times New Roman" w:cs="Times New Roman"/>
          <w:bCs/>
          <w:iCs/>
          <w:lang w:eastAsia="ru-RU"/>
        </w:rPr>
      </w:pPr>
      <w:r w:rsidRPr="00801107">
        <w:rPr>
          <w:rFonts w:eastAsia="Times New Roman" w:cs="Times New Roman"/>
          <w:bCs/>
          <w:iCs/>
          <w:lang w:eastAsia="ru-RU"/>
        </w:rPr>
        <w:t>Теоретические методы — это методы, которые помогают систематизировать и обобщать исследовательский материал. Они отличаются абстрактным характером.</w:t>
      </w:r>
    </w:p>
    <w:p w14:paraId="05DCFBED" w14:textId="77777777" w:rsidR="008B37E8" w:rsidRPr="00801107" w:rsidRDefault="008B37E8" w:rsidP="00801107">
      <w:pPr>
        <w:spacing w:after="0" w:line="240" w:lineRule="auto"/>
        <w:jc w:val="both"/>
        <w:rPr>
          <w:rFonts w:eastAsia="Times New Roman" w:cs="Times New Roman"/>
          <w:bCs/>
          <w:iCs/>
          <w:lang w:eastAsia="ru-RU"/>
        </w:rPr>
      </w:pPr>
    </w:p>
    <w:tbl>
      <w:tblPr>
        <w:tblW w:w="14742" w:type="dxa"/>
        <w:tblCellSpacing w:w="10" w:type="dxa"/>
        <w:tblBorders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386"/>
        <w:gridCol w:w="5836"/>
        <w:gridCol w:w="6520"/>
      </w:tblGrid>
      <w:tr w:rsidR="00801107" w:rsidRPr="00801107" w14:paraId="3053D226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vAlign w:val="center"/>
            <w:hideMark/>
          </w:tcPr>
          <w:p w14:paraId="03CDE395" w14:textId="3805D510" w:rsidR="00801107" w:rsidRPr="00801107" w:rsidRDefault="008B37E8" w:rsidP="008B37E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lang w:eastAsia="ru-RU"/>
              </w:rPr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Применяемый метод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vAlign w:val="center"/>
            <w:hideMark/>
          </w:tcPr>
          <w:p w14:paraId="0CA075FE" w14:textId="54512E10" w:rsidR="00801107" w:rsidRPr="00801107" w:rsidRDefault="008B37E8" w:rsidP="008B37E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lang w:eastAsia="ru-RU"/>
              </w:rPr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Расшифровка термина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vAlign w:val="center"/>
            <w:hideMark/>
          </w:tcPr>
          <w:p w14:paraId="02DB40DB" w14:textId="4E55F6C4" w:rsidR="00801107" w:rsidRPr="00801107" w:rsidRDefault="008B37E8" w:rsidP="008B37E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lang w:eastAsia="ru-RU"/>
              </w:rPr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Наглядный пример</w:t>
            </w:r>
          </w:p>
        </w:tc>
      </w:tr>
      <w:tr w:rsidR="00801107" w:rsidRPr="00801107" w14:paraId="0D03000F" w14:textId="77777777" w:rsidTr="008B37E8">
        <w:trPr>
          <w:trHeight w:val="986"/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1AB1C550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Абстрагирование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30EB5FCF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Этот метод помогает изучать не весь объект, а лишь определённый аспект или отдельную характеристику.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50C7688E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экономике: изучить, как взаимодействуют спрос и цена, и абстрагироваться при этом от других факторов.</w:t>
            </w:r>
          </w:p>
        </w:tc>
      </w:tr>
      <w:tr w:rsidR="00801107" w:rsidRPr="00801107" w14:paraId="597DCD1F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725E537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Конкретизация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13D73770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 используют, когда необходимо изучить конкретный предмет в реальных условиях.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2768FF7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экономике: исследовать, как проявляется спрос и цена на фрукты в условиях реального рынка.</w:t>
            </w:r>
          </w:p>
        </w:tc>
      </w:tr>
      <w:tr w:rsidR="00801107" w:rsidRPr="00801107" w14:paraId="294FA0EC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A3308A9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Анализ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2E0128A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Метод, который используют, чтобы разобрать предмет, явление или ситуацию на составляющие и изучить их отдельные характеристики. Это самый популярный методический приём у студентов.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0933F521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педагогике: проанализировать общую успеваемость класса и те факторы, от которых она зависит.</w:t>
            </w:r>
          </w:p>
        </w:tc>
      </w:tr>
      <w:tr w:rsidR="00801107" w:rsidRPr="00801107" w14:paraId="2E39B56B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6EDD3E78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Синтез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38B27F66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отличие от анализа, метод синтеза помогает соединить отдельные функции или характеристики и исследовать, как они взаимодействуют в единой структуре.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32CE44FF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истории: изучить отдельные эпизоды и факты, как составляющие одной исторической эпохи, и найти то общее, что их объединяет.</w:t>
            </w:r>
          </w:p>
        </w:tc>
      </w:tr>
      <w:tr w:rsidR="00801107" w:rsidRPr="00801107" w14:paraId="2381B322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6F187FC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lastRenderedPageBreak/>
              <w:t>Аналогия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AFABEA4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Если нет возможности изучать объект напрямую, используют метод аналогии. Он позволяет находить сходства между разными явлениями и ситуациями и утверждать, что и другие характеристики у них схожи.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0706939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экономике: сравнить идею «экономической эволюции» с теорией биологической эволюции Дарвина.</w:t>
            </w:r>
          </w:p>
        </w:tc>
      </w:tr>
      <w:tr w:rsidR="00801107" w:rsidRPr="00801107" w14:paraId="38387832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1C1E9E8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Дедукция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73738DB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Метод, при котором частное заключение логически выводят из общего.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C8CFFA7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экономике: изменения, которые происходят в мировой экономике, влияют на все частные рынки. На рынке в Нью-Йорке повысились цены. Значит, стоит ждать повышения цен у нас.</w:t>
            </w:r>
          </w:p>
        </w:tc>
      </w:tr>
      <w:tr w:rsidR="00801107" w:rsidRPr="00801107" w14:paraId="3BC1F11D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6967D76D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Индукция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FC05274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 противоположный дедукции. В нём приходят к общим заключениям через частные закономерности.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0280E86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политологии: все правители наращивают военное вооружение и комплектуют армию, когда готовятся к войне. В конкретном географическом регионе идёт активная закупка оружия, значит, страна планирует военные действия.</w:t>
            </w:r>
          </w:p>
        </w:tc>
      </w:tr>
      <w:tr w:rsidR="00801107" w:rsidRPr="00801107" w14:paraId="0FF19DB7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1A4BB57C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Классификация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657E289E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 помогает упорядочить полученные факты и привести их в систему по определённым признакам, которые исследователь часто может выбирать самостоятельно.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33E915AF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социологии: классифицировать социальные группы по возрастным критериям.</w:t>
            </w:r>
          </w:p>
        </w:tc>
      </w:tr>
      <w:tr w:rsidR="00801107" w:rsidRPr="00801107" w14:paraId="79A3825A" w14:textId="77777777" w:rsidTr="008B37E8">
        <w:trPr>
          <w:tblCellSpacing w:w="10" w:type="dxa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33C1F5E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Моделирование</w:t>
            </w:r>
          </w:p>
        </w:tc>
        <w:tc>
          <w:tcPr>
            <w:tcW w:w="581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48C213A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 позволяет создавать модели тех явлений и объектов, которые невозможно изучить в реальности. Для них воспроизводят условия и свойства, полностью соответствующие действительным.</w:t>
            </w:r>
          </w:p>
        </w:tc>
        <w:tc>
          <w:tcPr>
            <w:tcW w:w="649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3EE3A43C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астрономии: исследовать планетарные системы через уменьшенные модели.</w:t>
            </w:r>
          </w:p>
          <w:p w14:paraId="3E205682" w14:textId="77777777" w:rsidR="00801107" w:rsidRPr="00801107" w:rsidRDefault="00801107" w:rsidP="008B37E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генетике: изучить РНК через их увеличенные модели.</w:t>
            </w:r>
          </w:p>
        </w:tc>
      </w:tr>
    </w:tbl>
    <w:p w14:paraId="0AD31A3C" w14:textId="77777777" w:rsidR="008B37E8" w:rsidRDefault="008B37E8" w:rsidP="00801107">
      <w:pPr>
        <w:spacing w:after="0" w:line="240" w:lineRule="auto"/>
        <w:jc w:val="both"/>
        <w:rPr>
          <w:rFonts w:eastAsia="Times New Roman" w:cs="Times New Roman"/>
          <w:b/>
          <w:bCs/>
          <w:i/>
          <w:lang w:eastAsia="ru-RU"/>
        </w:rPr>
      </w:pPr>
    </w:p>
    <w:p w14:paraId="10CCC1B1" w14:textId="17FE1E0A" w:rsidR="00801107" w:rsidRPr="008B37E8" w:rsidRDefault="00801107" w:rsidP="00801107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i/>
          <w:color w:val="074F6A" w:themeColor="accent4" w:themeShade="80"/>
          <w:sz w:val="40"/>
          <w:szCs w:val="40"/>
          <w:lang w:eastAsia="ru-RU"/>
        </w:rPr>
      </w:pPr>
      <w:r w:rsidRPr="00801107">
        <w:rPr>
          <w:rFonts w:asciiTheme="majorHAnsi" w:eastAsia="Times New Roman" w:hAnsiTheme="majorHAnsi" w:cs="Times New Roman"/>
          <w:b/>
          <w:bCs/>
          <w:i/>
          <w:color w:val="074F6A" w:themeColor="accent4" w:themeShade="80"/>
          <w:sz w:val="40"/>
          <w:szCs w:val="40"/>
          <w:lang w:eastAsia="ru-RU"/>
        </w:rPr>
        <w:t>Эмпирические методы исследования в реферате</w:t>
      </w:r>
    </w:p>
    <w:p w14:paraId="6D212437" w14:textId="77777777" w:rsidR="008B37E8" w:rsidRPr="00801107" w:rsidRDefault="008B37E8" w:rsidP="00801107">
      <w:pPr>
        <w:spacing w:after="0" w:line="240" w:lineRule="auto"/>
        <w:jc w:val="both"/>
        <w:rPr>
          <w:rFonts w:eastAsia="Times New Roman" w:cs="Times New Roman"/>
          <w:b/>
          <w:bCs/>
          <w:i/>
          <w:lang w:eastAsia="ru-RU"/>
        </w:rPr>
      </w:pPr>
    </w:p>
    <w:p w14:paraId="1A2F54AE" w14:textId="77777777" w:rsidR="00801107" w:rsidRDefault="00801107" w:rsidP="00801107">
      <w:pPr>
        <w:spacing w:after="0" w:line="240" w:lineRule="auto"/>
        <w:jc w:val="both"/>
        <w:rPr>
          <w:rFonts w:eastAsia="Times New Roman" w:cs="Times New Roman"/>
          <w:bCs/>
          <w:iCs/>
          <w:lang w:eastAsia="ru-RU"/>
        </w:rPr>
      </w:pPr>
      <w:r w:rsidRPr="00801107">
        <w:rPr>
          <w:rFonts w:eastAsia="Times New Roman" w:cs="Times New Roman"/>
          <w:bCs/>
          <w:iCs/>
          <w:lang w:eastAsia="ru-RU"/>
        </w:rPr>
        <w:t>Эмпирические методы — это методологические приёмы, в основе которых практические исследования, которые опираются на чувственный опыт или показатели измерительных приборов.</w:t>
      </w:r>
    </w:p>
    <w:p w14:paraId="295E9E8A" w14:textId="77777777" w:rsidR="008B37E8" w:rsidRPr="00801107" w:rsidRDefault="008B37E8" w:rsidP="00801107">
      <w:pPr>
        <w:spacing w:after="0" w:line="240" w:lineRule="auto"/>
        <w:jc w:val="both"/>
        <w:rPr>
          <w:rFonts w:eastAsia="Times New Roman" w:cs="Times New Roman"/>
          <w:bCs/>
          <w:iCs/>
          <w:lang w:eastAsia="ru-RU"/>
        </w:rPr>
      </w:pPr>
    </w:p>
    <w:tbl>
      <w:tblPr>
        <w:tblW w:w="14884" w:type="dxa"/>
        <w:tblCellSpacing w:w="10" w:type="dxa"/>
        <w:tblBorders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410"/>
        <w:gridCol w:w="5812"/>
        <w:gridCol w:w="6662"/>
      </w:tblGrid>
      <w:tr w:rsidR="008B37E8" w:rsidRPr="00801107" w14:paraId="37ACA9D5" w14:textId="77777777" w:rsidTr="00715FE3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vAlign w:val="center"/>
            <w:hideMark/>
          </w:tcPr>
          <w:p w14:paraId="24D06597" w14:textId="27AD47A7" w:rsidR="008B37E8" w:rsidRPr="00801107" w:rsidRDefault="008B37E8" w:rsidP="008B37E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lang w:eastAsia="ru-RU"/>
              </w:rPr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Применяемый метод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vAlign w:val="center"/>
            <w:hideMark/>
          </w:tcPr>
          <w:p w14:paraId="69D6052E" w14:textId="202DDEDB" w:rsidR="008B37E8" w:rsidRPr="00801107" w:rsidRDefault="008B37E8" w:rsidP="008B37E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lang w:eastAsia="ru-RU"/>
              </w:rPr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Расшифровка термина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vAlign w:val="center"/>
            <w:hideMark/>
          </w:tcPr>
          <w:p w14:paraId="52919FCF" w14:textId="010AB541" w:rsidR="008B37E8" w:rsidRPr="00801107" w:rsidRDefault="008B37E8" w:rsidP="008B37E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lang w:eastAsia="ru-RU"/>
              </w:rPr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Наглядный пример</w:t>
            </w:r>
          </w:p>
        </w:tc>
      </w:tr>
      <w:tr w:rsidR="00801107" w:rsidRPr="00801107" w14:paraId="7110FD1B" w14:textId="77777777" w:rsidTr="008B37E8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5FC1DDA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Измерение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64122D5A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Классический метод, при котором делают физические измерения и получают точные знания об объекте.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862CAF6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физике: проверить меры длины, сравнивая их с эталонным показателем.</w:t>
            </w:r>
          </w:p>
        </w:tc>
      </w:tr>
      <w:tr w:rsidR="00801107" w:rsidRPr="00801107" w14:paraId="2539855C" w14:textId="77777777" w:rsidTr="008B37E8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33CAE86D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Наблюдение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0A435B91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Это основной метод любого практического исследования. В ходе его студент наблюдает за объектом и записывает видимые изменения.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551C8578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биологии: наблюдать за ростом горохового зерна и записывать результаты.</w:t>
            </w:r>
          </w:p>
          <w:p w14:paraId="4239247C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социологии: наблюдать за определённой группой людей и их жизненными изменениями.</w:t>
            </w:r>
          </w:p>
        </w:tc>
      </w:tr>
      <w:tr w:rsidR="00801107" w:rsidRPr="00801107" w14:paraId="188D4234" w14:textId="77777777" w:rsidTr="008B37E8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ABDEBDF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Беседа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530E8E7F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Это метод, который используют в гуманитарных науках. Он позволяет общаться с разными людьми, задавать им вопросы и получать данные для исследования. Порядок, в котором проводится беседа, нестрогий.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07D78B9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истории: провести беседу с участниками патриотического праздника и его организаторами.</w:t>
            </w:r>
          </w:p>
        </w:tc>
      </w:tr>
      <w:tr w:rsidR="00801107" w:rsidRPr="00801107" w14:paraId="7F8FFC41" w14:textId="77777777" w:rsidTr="008B37E8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E317511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Анкетирование и опрос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A650583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Методы, похожие на беседу. Однако порядок задаваемых вопросов в них должен быть чётким и одинаковым для всех участников.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209141A4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детской психологии: провести анкетирование детей от 5 до 7 лет, чтобы выявить их готовность к школе.</w:t>
            </w:r>
          </w:p>
        </w:tc>
      </w:tr>
      <w:tr w:rsidR="00801107" w:rsidRPr="00801107" w14:paraId="4D854634" w14:textId="77777777" w:rsidTr="008B37E8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51CD34FC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lastRenderedPageBreak/>
              <w:t>Сравнение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48768CA0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Этот метод помогает сравнивать разные явления и объекты между собой, а также влиять на них и замечать разницу или схожесть реакций.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06FDB13E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психологии: сравнить две социальные группы (молодёжь и пенсионеров) и их психологические реакции на стресс.</w:t>
            </w:r>
          </w:p>
        </w:tc>
      </w:tr>
      <w:tr w:rsidR="00801107" w:rsidRPr="00801107" w14:paraId="431DB215" w14:textId="77777777" w:rsidTr="008B37E8">
        <w:trPr>
          <w:tblCellSpacing w:w="10" w:type="dxa"/>
        </w:trPr>
        <w:tc>
          <w:tcPr>
            <w:tcW w:w="2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0CE318F4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Эксперимент</w:t>
            </w:r>
          </w:p>
        </w:tc>
        <w:tc>
          <w:tcPr>
            <w:tcW w:w="5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F40F6DE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Этот метод поход на наблюдение, но его проводят в контролируемых условиях, часто в лабораториях.</w:t>
            </w:r>
          </w:p>
        </w:tc>
        <w:tc>
          <w:tcPr>
            <w:tcW w:w="663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80" w:type="dxa"/>
              <w:left w:w="90" w:type="dxa"/>
              <w:bottom w:w="180" w:type="dxa"/>
              <w:right w:w="90" w:type="dxa"/>
            </w:tcMar>
            <w:hideMark/>
          </w:tcPr>
          <w:p w14:paraId="7A4BA59F" w14:textId="77777777" w:rsidR="00801107" w:rsidRPr="00801107" w:rsidRDefault="00801107" w:rsidP="0080110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801107">
              <w:rPr>
                <w:rFonts w:eastAsia="Times New Roman" w:cs="Times New Roman"/>
                <w:bCs/>
                <w:iCs/>
                <w:lang w:eastAsia="ru-RU"/>
              </w:rPr>
              <w:t>В физической культуре: провести эксперимент и изучить, как меняется пульс у людей 20+ при умеренной физической нагрузке.</w:t>
            </w:r>
          </w:p>
        </w:tc>
      </w:tr>
    </w:tbl>
    <w:p w14:paraId="27C4C1DB" w14:textId="77777777" w:rsidR="008B37E8" w:rsidRDefault="008B37E8" w:rsidP="008B37E8">
      <w:pPr>
        <w:spacing w:after="0" w:line="240" w:lineRule="auto"/>
        <w:jc w:val="both"/>
        <w:rPr>
          <w:b/>
          <w:bCs/>
        </w:rPr>
      </w:pPr>
    </w:p>
    <w:p w14:paraId="4BF9FA7D" w14:textId="2DF4EA14" w:rsidR="008B37E8" w:rsidRPr="008B37E8" w:rsidRDefault="008B37E8" w:rsidP="008B37E8">
      <w:pPr>
        <w:spacing w:after="0" w:line="240" w:lineRule="auto"/>
        <w:jc w:val="both"/>
        <w:rPr>
          <w:rFonts w:asciiTheme="majorHAnsi" w:hAnsiTheme="majorHAnsi"/>
          <w:b/>
          <w:bCs/>
          <w:color w:val="074F6A" w:themeColor="accent4" w:themeShade="80"/>
          <w:sz w:val="40"/>
          <w:szCs w:val="40"/>
        </w:rPr>
      </w:pPr>
      <w:r w:rsidRPr="008B37E8">
        <w:rPr>
          <w:rFonts w:asciiTheme="majorHAnsi" w:hAnsiTheme="majorHAnsi"/>
          <w:b/>
          <w:bCs/>
          <w:color w:val="074F6A" w:themeColor="accent4" w:themeShade="80"/>
          <w:sz w:val="40"/>
          <w:szCs w:val="40"/>
        </w:rPr>
        <w:t>Количественные методы исследования в реферате</w:t>
      </w:r>
    </w:p>
    <w:p w14:paraId="52CE2992" w14:textId="77777777" w:rsidR="008B37E8" w:rsidRDefault="008B37E8" w:rsidP="008B37E8">
      <w:pPr>
        <w:spacing w:after="0" w:line="240" w:lineRule="auto"/>
        <w:jc w:val="both"/>
      </w:pPr>
    </w:p>
    <w:p w14:paraId="500B6F91" w14:textId="383E8DAE" w:rsidR="008B37E8" w:rsidRDefault="008B37E8" w:rsidP="008B37E8">
      <w:pPr>
        <w:spacing w:after="0" w:line="240" w:lineRule="auto"/>
        <w:jc w:val="both"/>
      </w:pPr>
      <w:r w:rsidRPr="008B37E8">
        <w:t>Количественные методы — это методологические приёмы, которые помогают анализировать объекты и опираться при этом на конкретные количественные показатели.</w:t>
      </w:r>
    </w:p>
    <w:p w14:paraId="6F6876F1" w14:textId="77777777" w:rsidR="008B37E8" w:rsidRPr="008B37E8" w:rsidRDefault="008B37E8" w:rsidP="008B37E8">
      <w:pPr>
        <w:spacing w:after="0" w:line="240" w:lineRule="auto"/>
        <w:jc w:val="both"/>
      </w:pPr>
    </w:p>
    <w:tbl>
      <w:tblPr>
        <w:tblW w:w="14881" w:type="dxa"/>
        <w:tblCellSpacing w:w="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391"/>
        <w:gridCol w:w="5823"/>
        <w:gridCol w:w="6667"/>
      </w:tblGrid>
      <w:tr w:rsidR="008B37E8" w:rsidRPr="008B37E8" w14:paraId="77EBBBE7" w14:textId="77777777" w:rsidTr="008B37E8">
        <w:trPr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3E591" w14:textId="6B4D36C7" w:rsidR="008B37E8" w:rsidRPr="008B37E8" w:rsidRDefault="008B37E8" w:rsidP="008B37E8">
            <w:pPr>
              <w:spacing w:after="0" w:line="240" w:lineRule="auto"/>
              <w:jc w:val="center"/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Применяемый метод</w:t>
            </w:r>
          </w:p>
        </w:tc>
        <w:tc>
          <w:tcPr>
            <w:tcW w:w="5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AC7FD" w14:textId="5BFEF06C" w:rsidR="008B37E8" w:rsidRPr="008B37E8" w:rsidRDefault="008B37E8" w:rsidP="008B37E8">
            <w:pPr>
              <w:spacing w:after="0" w:line="240" w:lineRule="auto"/>
              <w:jc w:val="center"/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Расшифровка термина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7065B" w14:textId="4757B38C" w:rsidR="008B37E8" w:rsidRPr="008B37E8" w:rsidRDefault="008B37E8" w:rsidP="008B37E8">
            <w:pPr>
              <w:spacing w:after="0" w:line="240" w:lineRule="auto"/>
              <w:jc w:val="center"/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Наглядный пример</w:t>
            </w:r>
          </w:p>
        </w:tc>
      </w:tr>
      <w:tr w:rsidR="008B37E8" w:rsidRPr="008B37E8" w14:paraId="0822C121" w14:textId="77777777" w:rsidTr="008B37E8">
        <w:trPr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48DDF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Статистический анализ</w:t>
            </w:r>
          </w:p>
        </w:tc>
        <w:tc>
          <w:tcPr>
            <w:tcW w:w="5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36EB7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Это метод, который позволяет изучать, сравнивать и сопоставлять данные, выводить общую статистику и делать на их основе практические выводы.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B3FFD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В криминалистике: изучить показатели преступности в конкретном регионе, сравнить с предыдущими и сделать выводы о том, растёт или уменьшается криминальная обстановка.</w:t>
            </w:r>
          </w:p>
        </w:tc>
      </w:tr>
      <w:tr w:rsidR="008B37E8" w:rsidRPr="008B37E8" w14:paraId="0ADDD356" w14:textId="77777777" w:rsidTr="008B37E8">
        <w:trPr>
          <w:tblCellSpacing w:w="1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7B7E6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Контент-анализ</w:t>
            </w:r>
          </w:p>
        </w:tc>
        <w:tc>
          <w:tcPr>
            <w:tcW w:w="5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6D324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Метод, с помощью которого анализируют содержание конкретных текстов и выявляют определённые данные.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EC4BA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В журналистике: оценить, с какой частотой используются иностранные слова в российских СМИ.</w:t>
            </w:r>
          </w:p>
        </w:tc>
      </w:tr>
    </w:tbl>
    <w:p w14:paraId="334A960C" w14:textId="6D616ADF" w:rsidR="00801107" w:rsidRDefault="00801107" w:rsidP="00801107">
      <w:pPr>
        <w:spacing w:after="0" w:line="240" w:lineRule="auto"/>
        <w:jc w:val="both"/>
      </w:pPr>
    </w:p>
    <w:p w14:paraId="75517E72" w14:textId="77777777" w:rsidR="008B37E8" w:rsidRDefault="008B37E8" w:rsidP="008B37E8">
      <w:pPr>
        <w:spacing w:after="0" w:line="240" w:lineRule="auto"/>
        <w:jc w:val="both"/>
        <w:rPr>
          <w:rFonts w:asciiTheme="majorHAnsi" w:hAnsiTheme="majorHAnsi"/>
          <w:b/>
          <w:bCs/>
          <w:color w:val="074F6A" w:themeColor="accent4" w:themeShade="80"/>
          <w:sz w:val="40"/>
          <w:szCs w:val="40"/>
        </w:rPr>
      </w:pPr>
    </w:p>
    <w:p w14:paraId="31245CE8" w14:textId="77777777" w:rsidR="008B37E8" w:rsidRDefault="008B37E8" w:rsidP="008B37E8">
      <w:pPr>
        <w:spacing w:after="0" w:line="240" w:lineRule="auto"/>
        <w:jc w:val="both"/>
        <w:rPr>
          <w:rFonts w:asciiTheme="majorHAnsi" w:hAnsiTheme="majorHAnsi"/>
          <w:b/>
          <w:bCs/>
          <w:color w:val="074F6A" w:themeColor="accent4" w:themeShade="80"/>
          <w:sz w:val="40"/>
          <w:szCs w:val="40"/>
        </w:rPr>
      </w:pPr>
    </w:p>
    <w:p w14:paraId="56E943B7" w14:textId="526CC091" w:rsidR="008B37E8" w:rsidRPr="008B37E8" w:rsidRDefault="008B37E8" w:rsidP="008B37E8">
      <w:pPr>
        <w:spacing w:after="0" w:line="240" w:lineRule="auto"/>
        <w:jc w:val="both"/>
        <w:rPr>
          <w:rFonts w:asciiTheme="majorHAnsi" w:hAnsiTheme="majorHAnsi"/>
          <w:b/>
          <w:bCs/>
          <w:color w:val="074F6A" w:themeColor="accent4" w:themeShade="80"/>
          <w:sz w:val="40"/>
          <w:szCs w:val="40"/>
        </w:rPr>
      </w:pPr>
      <w:r w:rsidRPr="008B37E8">
        <w:rPr>
          <w:rFonts w:asciiTheme="majorHAnsi" w:hAnsiTheme="majorHAnsi"/>
          <w:b/>
          <w:bCs/>
          <w:color w:val="074F6A" w:themeColor="accent4" w:themeShade="80"/>
          <w:sz w:val="40"/>
          <w:szCs w:val="40"/>
        </w:rPr>
        <w:lastRenderedPageBreak/>
        <w:t>Качественные методы исследования в реферате</w:t>
      </w:r>
    </w:p>
    <w:p w14:paraId="48258AD0" w14:textId="77777777" w:rsidR="008B37E8" w:rsidRDefault="008B37E8" w:rsidP="008B37E8">
      <w:pPr>
        <w:spacing w:after="0" w:line="240" w:lineRule="auto"/>
        <w:jc w:val="both"/>
      </w:pPr>
    </w:p>
    <w:p w14:paraId="4DD79574" w14:textId="326AD977" w:rsidR="008B37E8" w:rsidRDefault="008B37E8" w:rsidP="008B37E8">
      <w:pPr>
        <w:spacing w:after="0" w:line="240" w:lineRule="auto"/>
        <w:jc w:val="both"/>
      </w:pPr>
      <w:r w:rsidRPr="008B37E8">
        <w:t>Качественные методы — методы, оценивающие качественные показатели и их влияние на конкретные явления или группы людей. Их в основном применяют в маркетинговых и социальных исследованиях.</w:t>
      </w:r>
    </w:p>
    <w:p w14:paraId="1F0AB045" w14:textId="77777777" w:rsidR="008B37E8" w:rsidRPr="008B37E8" w:rsidRDefault="008B37E8" w:rsidP="008B37E8">
      <w:pPr>
        <w:spacing w:after="0" w:line="240" w:lineRule="auto"/>
        <w:jc w:val="both"/>
      </w:pPr>
    </w:p>
    <w:tbl>
      <w:tblPr>
        <w:tblW w:w="14881" w:type="dxa"/>
        <w:tblCellSpacing w:w="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392"/>
        <w:gridCol w:w="5822"/>
        <w:gridCol w:w="6667"/>
      </w:tblGrid>
      <w:tr w:rsidR="008B37E8" w:rsidRPr="008B37E8" w14:paraId="38EF66E6" w14:textId="77777777" w:rsidTr="008B37E8">
        <w:trPr>
          <w:tblCellSpacing w:w="10" w:type="dxa"/>
        </w:trPr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D520A" w14:textId="66D77141" w:rsidR="008B37E8" w:rsidRPr="008B37E8" w:rsidRDefault="008B37E8" w:rsidP="008B37E8">
            <w:pPr>
              <w:spacing w:after="0" w:line="240" w:lineRule="auto"/>
              <w:jc w:val="center"/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Применяемый метод</w:t>
            </w:r>
          </w:p>
        </w:tc>
        <w:tc>
          <w:tcPr>
            <w:tcW w:w="5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12DBC" w14:textId="69FE400D" w:rsidR="008B37E8" w:rsidRPr="008B37E8" w:rsidRDefault="008B37E8" w:rsidP="008B37E8">
            <w:pPr>
              <w:spacing w:after="0" w:line="240" w:lineRule="auto"/>
              <w:jc w:val="center"/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Расшифровка термина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478E9" w14:textId="52CF9DC6" w:rsidR="008B37E8" w:rsidRPr="008B37E8" w:rsidRDefault="008B37E8" w:rsidP="008B37E8">
            <w:pPr>
              <w:spacing w:after="0" w:line="240" w:lineRule="auto"/>
              <w:jc w:val="center"/>
            </w:pPr>
            <w:r w:rsidRPr="008B37E8">
              <w:rPr>
                <w:rFonts w:eastAsia="Times New Roman" w:cs="Times New Roman"/>
                <w:b/>
                <w:bCs/>
                <w:iCs/>
                <w:lang w:eastAsia="ru-RU"/>
              </w:rPr>
              <w:t>Наглядный пример</w:t>
            </w:r>
          </w:p>
        </w:tc>
      </w:tr>
      <w:tr w:rsidR="008B37E8" w:rsidRPr="008B37E8" w14:paraId="776244A0" w14:textId="77777777" w:rsidTr="008B37E8">
        <w:trPr>
          <w:tblCellSpacing w:w="10" w:type="dxa"/>
        </w:trPr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B60E4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Глубинное интервью</w:t>
            </w:r>
          </w:p>
        </w:tc>
        <w:tc>
          <w:tcPr>
            <w:tcW w:w="5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0F4C8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Этот метод более глубокий, чем простые опросы или беседы. Его цель — изучать глубинные убеждения, ценности и мотивации людей.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B49FD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В маркетинге: исследовать отношение и интерес выбранной аудитории к коучингу.</w:t>
            </w:r>
          </w:p>
        </w:tc>
      </w:tr>
      <w:tr w:rsidR="008B37E8" w:rsidRPr="008B37E8" w14:paraId="1C8F1832" w14:textId="77777777" w:rsidTr="008B37E8">
        <w:trPr>
          <w:tblCellSpacing w:w="10" w:type="dxa"/>
        </w:trPr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FA68A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Экспертное интервью</w:t>
            </w:r>
          </w:p>
        </w:tc>
        <w:tc>
          <w:tcPr>
            <w:tcW w:w="5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4ABB6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Этот метод позволяет исследовать экспертные мнения по острым вопросам.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C4C12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В журналистике: изучить журналистские приёмы через экспертные интервью с именитыми журналистами (на основе открытых источников).</w:t>
            </w:r>
          </w:p>
        </w:tc>
      </w:tr>
      <w:tr w:rsidR="008B37E8" w:rsidRPr="008B37E8" w14:paraId="475D9530" w14:textId="77777777" w:rsidTr="008B37E8">
        <w:trPr>
          <w:tblCellSpacing w:w="10" w:type="dxa"/>
        </w:trPr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FFED8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Фокус-групповое исследование</w:t>
            </w:r>
          </w:p>
        </w:tc>
        <w:tc>
          <w:tcPr>
            <w:tcW w:w="5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085A6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Помогает изучать объект исследования и получать данные через групповые дискуссии с аудиторией, которая имеет отношение к изучаемой теме.</w:t>
            </w:r>
          </w:p>
        </w:tc>
        <w:tc>
          <w:tcPr>
            <w:tcW w:w="6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421B2" w14:textId="77777777" w:rsidR="008B37E8" w:rsidRPr="008B37E8" w:rsidRDefault="008B37E8" w:rsidP="008B37E8">
            <w:pPr>
              <w:spacing w:after="0" w:line="240" w:lineRule="auto"/>
              <w:jc w:val="both"/>
            </w:pPr>
            <w:r w:rsidRPr="008B37E8">
              <w:t>В педагогике: фокус-групповое исследование преподавательских методик среди учителей начальных школ.</w:t>
            </w:r>
          </w:p>
        </w:tc>
      </w:tr>
    </w:tbl>
    <w:p w14:paraId="3D3C9AA6" w14:textId="10455A79" w:rsidR="008B37E8" w:rsidRDefault="008B37E8" w:rsidP="00801107">
      <w:pPr>
        <w:spacing w:after="0" w:line="240" w:lineRule="auto"/>
        <w:jc w:val="both"/>
      </w:pPr>
    </w:p>
    <w:p w14:paraId="37C1B330" w14:textId="77777777" w:rsidR="008B37E8" w:rsidRDefault="008B37E8" w:rsidP="00801107">
      <w:pPr>
        <w:spacing w:after="0" w:line="240" w:lineRule="auto"/>
        <w:jc w:val="both"/>
      </w:pPr>
    </w:p>
    <w:p w14:paraId="0BC34E4F" w14:textId="77777777" w:rsidR="008B37E8" w:rsidRDefault="008B37E8" w:rsidP="008B37E8">
      <w:pPr>
        <w:spacing w:after="0" w:line="240" w:lineRule="auto"/>
        <w:jc w:val="both"/>
      </w:pPr>
      <w:r>
        <w:t xml:space="preserve">В </w:t>
      </w:r>
      <w:r w:rsidRPr="008B37E8">
        <w:t xml:space="preserve">ходе работы использовались такие методы исследования как: </w:t>
      </w:r>
    </w:p>
    <w:p w14:paraId="73728356" w14:textId="62FA8CB7" w:rsidR="008B37E8" w:rsidRDefault="008B37E8" w:rsidP="008B37E8">
      <w:pPr>
        <w:spacing w:after="0" w:line="240" w:lineRule="auto"/>
        <w:jc w:val="both"/>
      </w:pPr>
      <w:r w:rsidRPr="008B37E8">
        <w:t>включённое</w:t>
      </w:r>
      <w:r w:rsidRPr="008B37E8">
        <w:t xml:space="preserve"> наблюдение</w:t>
      </w:r>
    </w:p>
    <w:p w14:paraId="3B79CFF4" w14:textId="77777777" w:rsidR="008B37E8" w:rsidRDefault="008B37E8" w:rsidP="008B37E8">
      <w:pPr>
        <w:spacing w:after="0" w:line="240" w:lineRule="auto"/>
        <w:jc w:val="both"/>
      </w:pPr>
      <w:r w:rsidRPr="008B37E8">
        <w:t>индукция и дедукция</w:t>
      </w:r>
    </w:p>
    <w:p w14:paraId="229F4037" w14:textId="35D4B03C" w:rsidR="008B37E8" w:rsidRPr="008B37E8" w:rsidRDefault="008B37E8" w:rsidP="008B37E8">
      <w:pPr>
        <w:spacing w:after="0" w:line="240" w:lineRule="auto"/>
        <w:jc w:val="both"/>
      </w:pPr>
      <w:r w:rsidRPr="008B37E8">
        <w:t xml:space="preserve">анализ и синтез </w:t>
      </w:r>
    </w:p>
    <w:p w14:paraId="526F4995" w14:textId="77777777" w:rsidR="008B37E8" w:rsidRPr="008B37E8" w:rsidRDefault="008B37E8" w:rsidP="008B37E8">
      <w:pPr>
        <w:spacing w:after="0" w:line="240" w:lineRule="auto"/>
        <w:jc w:val="both"/>
      </w:pPr>
      <w:r w:rsidRPr="008B37E8">
        <w:t xml:space="preserve">анкетирование и анализ внутренних документов </w:t>
      </w:r>
    </w:p>
    <w:p w14:paraId="3FD69B20" w14:textId="77777777" w:rsidR="008B37E8" w:rsidRPr="00801107" w:rsidRDefault="008B37E8" w:rsidP="00801107">
      <w:pPr>
        <w:spacing w:after="0" w:line="240" w:lineRule="auto"/>
        <w:jc w:val="both"/>
      </w:pPr>
    </w:p>
    <w:sectPr w:rsidR="008B37E8" w:rsidRPr="00801107" w:rsidSect="008B37E8">
      <w:pgSz w:w="16838" w:h="11906" w:orient="landscape"/>
      <w:pgMar w:top="234" w:right="1134" w:bottom="61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27DB0"/>
    <w:multiLevelType w:val="hybridMultilevel"/>
    <w:tmpl w:val="63C4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107"/>
    <w:rsid w:val="00801107"/>
    <w:rsid w:val="008B37E8"/>
    <w:rsid w:val="00B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8527"/>
  <w15:chartTrackingRefBased/>
  <w15:docId w15:val="{B5BF208C-06E3-334E-9B8C-E3A13212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107"/>
    <w:pPr>
      <w:spacing w:after="200" w:line="276" w:lineRule="auto"/>
    </w:pPr>
    <w:rPr>
      <w:rFonts w:ascii="PT Sans" w:eastAsia="PT Sans" w:hAnsi="PT Sans" w:cs="PT Sans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01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1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1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1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1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1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1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1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1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1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110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110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11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11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11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11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1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01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1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01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01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011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011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0110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01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0110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011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56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7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Касаткина</dc:creator>
  <cp:keywords/>
  <dc:description/>
  <cp:lastModifiedBy>Елена Касаткина</cp:lastModifiedBy>
  <cp:revision>1</cp:revision>
  <dcterms:created xsi:type="dcterms:W3CDTF">2025-01-09T17:34:00Z</dcterms:created>
  <dcterms:modified xsi:type="dcterms:W3CDTF">2025-01-09T17:52:00Z</dcterms:modified>
</cp:coreProperties>
</file>